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CCCCF">
      <w:pPr>
        <w:spacing w:line="380" w:lineRule="atLeast"/>
        <w:ind w:left="-199" w:leftChars="-95"/>
        <w:jc w:val="center"/>
        <w:rPr>
          <w:rFonts w:hint="eastAsia" w:ascii="楷体_GB2312" w:hAnsi="楷体_GB2312" w:eastAsia="楷体_GB2312" w:cs="楷体_GB2312"/>
          <w:b/>
          <w:sz w:val="52"/>
          <w:szCs w:val="52"/>
          <w:highlight w:val="none"/>
          <w:lang w:val="en-US" w:eastAsia="zh-CN"/>
        </w:rPr>
      </w:pPr>
      <w:bookmarkStart w:id="0" w:name="_Toc343692950"/>
      <w:bookmarkStart w:id="1" w:name="_Toc343700748"/>
      <w:r>
        <w:rPr>
          <w:rFonts w:hint="eastAsia" w:ascii="楷体_GB2312" w:hAnsi="楷体_GB2312" w:eastAsia="楷体_GB2312" w:cs="楷体_GB2312"/>
          <w:b/>
          <w:sz w:val="52"/>
          <w:szCs w:val="52"/>
          <w:highlight w:val="none"/>
          <w:lang w:val="en-US" w:eastAsia="zh-CN"/>
        </w:rPr>
        <w:t>海南洋浦陆海能源发展有限公司</w:t>
      </w:r>
    </w:p>
    <w:p w14:paraId="3A09D5F1">
      <w:pPr>
        <w:spacing w:line="380" w:lineRule="atLeast"/>
        <w:ind w:left="-199" w:leftChars="-95"/>
        <w:jc w:val="center"/>
        <w:rPr>
          <w:rFonts w:hint="eastAsia" w:ascii="楷体_GB2312" w:hAnsi="楷体_GB2312" w:eastAsia="楷体_GB2312" w:cs="楷体_GB2312"/>
          <w:b/>
          <w:sz w:val="52"/>
          <w:szCs w:val="52"/>
          <w:highlight w:val="none"/>
          <w:lang w:eastAsia="zh-CN"/>
        </w:rPr>
      </w:pPr>
      <w:r>
        <w:rPr>
          <w:rFonts w:hint="eastAsia" w:ascii="楷体_GB2312" w:hAnsi="楷体_GB2312" w:eastAsia="楷体_GB2312" w:cs="楷体_GB2312"/>
          <w:b/>
          <w:sz w:val="52"/>
          <w:szCs w:val="52"/>
          <w:highlight w:val="none"/>
          <w:lang w:val="en-US" w:eastAsia="zh-CN"/>
        </w:rPr>
        <w:t>沥青船舶运输服务</w:t>
      </w:r>
    </w:p>
    <w:p w14:paraId="60A99306">
      <w:pPr>
        <w:spacing w:line="380" w:lineRule="atLeast"/>
        <w:ind w:left="-199" w:leftChars="-95"/>
        <w:jc w:val="center"/>
        <w:rPr>
          <w:rFonts w:hint="eastAsia" w:ascii="楷体_GB2312" w:hAnsi="楷体_GB2312" w:eastAsia="楷体_GB2312" w:cs="楷体_GB2312"/>
          <w:b/>
          <w:sz w:val="52"/>
          <w:szCs w:val="52"/>
          <w:highlight w:val="none"/>
        </w:rPr>
      </w:pPr>
    </w:p>
    <w:p w14:paraId="513BD407">
      <w:pPr>
        <w:spacing w:line="380" w:lineRule="atLeast"/>
        <w:ind w:left="-199" w:leftChars="-95"/>
        <w:jc w:val="center"/>
        <w:rPr>
          <w:rFonts w:hint="eastAsia" w:ascii="楷体_GB2312" w:hAnsi="楷体_GB2312" w:eastAsia="楷体_GB2312" w:cs="楷体_GB2312"/>
          <w:b/>
          <w:sz w:val="52"/>
          <w:szCs w:val="52"/>
          <w:highlight w:val="none"/>
        </w:rPr>
      </w:pPr>
    </w:p>
    <w:p w14:paraId="1F23D629">
      <w:pPr>
        <w:spacing w:line="380" w:lineRule="atLeast"/>
        <w:jc w:val="both"/>
        <w:rPr>
          <w:rFonts w:hint="eastAsia" w:ascii="楷体_GB2312" w:hAnsi="楷体_GB2312" w:eastAsia="楷体_GB2312" w:cs="楷体_GB2312"/>
          <w:b/>
          <w:sz w:val="52"/>
          <w:szCs w:val="52"/>
          <w:highlight w:val="none"/>
        </w:rPr>
      </w:pPr>
    </w:p>
    <w:p w14:paraId="5E73DA92">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公</w:t>
      </w:r>
    </w:p>
    <w:p w14:paraId="72FC4508">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开</w:t>
      </w:r>
    </w:p>
    <w:p w14:paraId="684C791D">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询</w:t>
      </w:r>
    </w:p>
    <w:p w14:paraId="348965D3">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价</w:t>
      </w:r>
    </w:p>
    <w:p w14:paraId="0D65CC06">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文</w:t>
      </w:r>
    </w:p>
    <w:p w14:paraId="6EEACCF0">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
          <w:bCs/>
          <w:color w:val="000000" w:themeColor="text1"/>
          <w:kern w:val="44"/>
          <w:sz w:val="24"/>
          <w:szCs w:val="24"/>
          <w:highlight w:val="none"/>
          <w14:textFill>
            <w14:solidFill>
              <w14:schemeClr w14:val="tx1"/>
            </w14:solidFill>
          </w14:textFill>
        </w:rPr>
      </w:pPr>
      <w:r>
        <w:rPr>
          <w:rFonts w:hint="eastAsia" w:ascii="楷体_GB2312" w:hAnsi="楷体_GB2312" w:eastAsia="楷体_GB2312" w:cs="楷体_GB2312"/>
          <w:b/>
          <w:sz w:val="52"/>
          <w:szCs w:val="52"/>
          <w:highlight w:val="none"/>
        </w:rPr>
        <w:t xml:space="preserve">件 </w:t>
      </w:r>
    </w:p>
    <w:p w14:paraId="4ACFC33A">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
          <w:bCs/>
          <w:color w:val="000000" w:themeColor="text1"/>
          <w:kern w:val="44"/>
          <w:sz w:val="24"/>
          <w:szCs w:val="24"/>
          <w:highlight w:val="none"/>
          <w14:textFill>
            <w14:solidFill>
              <w14:schemeClr w14:val="tx1"/>
            </w14:solidFill>
          </w14:textFill>
        </w:rPr>
      </w:pPr>
    </w:p>
    <w:p w14:paraId="122A3E0C">
      <w:pPr>
        <w:pStyle w:val="28"/>
        <w:spacing w:line="360" w:lineRule="auto"/>
        <w:ind w:firstLine="0" w:firstLineChars="0"/>
        <w:jc w:val="center"/>
        <w:rPr>
          <w:rFonts w:hint="eastAsia" w:ascii="楷体" w:hAnsi="楷体" w:eastAsia="楷体" w:cs="楷体"/>
          <w:b/>
          <w:bCs/>
          <w:color w:val="000000" w:themeColor="text1"/>
          <w:kern w:val="44"/>
          <w:sz w:val="24"/>
          <w:szCs w:val="24"/>
          <w:highlight w:val="none"/>
          <w14:textFill>
            <w14:solidFill>
              <w14:schemeClr w14:val="tx1"/>
            </w14:solidFill>
          </w14:textFill>
        </w:rPr>
      </w:pPr>
    </w:p>
    <w:p w14:paraId="0C9A30F7">
      <w:pPr>
        <w:pStyle w:val="28"/>
        <w:spacing w:line="360" w:lineRule="auto"/>
        <w:ind w:firstLine="0" w:firstLineChars="0"/>
        <w:jc w:val="center"/>
        <w:rPr>
          <w:rFonts w:hint="eastAsia" w:ascii="楷体" w:hAnsi="楷体" w:eastAsia="楷体" w:cs="楷体"/>
          <w:b/>
          <w:bCs/>
          <w:color w:val="000000" w:themeColor="text1"/>
          <w:kern w:val="44"/>
          <w:sz w:val="28"/>
          <w:szCs w:val="28"/>
          <w:highlight w:val="none"/>
          <w14:textFill>
            <w14:solidFill>
              <w14:schemeClr w14:val="tx1"/>
            </w14:solidFill>
          </w14:textFill>
        </w:rPr>
      </w:pPr>
      <w:r>
        <w:rPr>
          <w:rFonts w:hint="eastAsia" w:ascii="楷体" w:hAnsi="楷体" w:eastAsia="楷体" w:cs="楷体"/>
          <w:b/>
          <w:bCs/>
          <w:color w:val="000000" w:themeColor="text1"/>
          <w:kern w:val="44"/>
          <w:sz w:val="28"/>
          <w:szCs w:val="28"/>
          <w:highlight w:val="none"/>
          <w:lang w:val="en-US" w:eastAsia="zh-CN"/>
          <w14:textFill>
            <w14:solidFill>
              <w14:schemeClr w14:val="tx1"/>
            </w14:solidFill>
          </w14:textFill>
        </w:rPr>
        <w:t>采购单位：</w:t>
      </w:r>
      <w:r>
        <w:rPr>
          <w:rFonts w:hint="eastAsia" w:ascii="楷体" w:hAnsi="楷体" w:eastAsia="楷体" w:cs="楷体"/>
          <w:b/>
          <w:bCs/>
          <w:color w:val="000000" w:themeColor="text1"/>
          <w:kern w:val="44"/>
          <w:sz w:val="28"/>
          <w:szCs w:val="28"/>
          <w:highlight w:val="none"/>
          <w14:textFill>
            <w14:solidFill>
              <w14:schemeClr w14:val="tx1"/>
            </w14:solidFill>
          </w14:textFill>
        </w:rPr>
        <w:t>海南洋浦陆海能源发展有限公司</w:t>
      </w:r>
    </w:p>
    <w:p w14:paraId="6574DCAA">
      <w:pPr>
        <w:pStyle w:val="28"/>
        <w:spacing w:line="360" w:lineRule="auto"/>
        <w:ind w:firstLine="0" w:firstLineChars="0"/>
        <w:jc w:val="center"/>
        <w:rPr>
          <w:rFonts w:hint="default" w:ascii="楷体" w:hAnsi="楷体" w:eastAsia="楷体" w:cs="楷体"/>
          <w:b/>
          <w:bCs/>
          <w:color w:val="000000" w:themeColor="text1"/>
          <w:kern w:val="44"/>
          <w:sz w:val="28"/>
          <w:szCs w:val="28"/>
          <w:highlight w:val="none"/>
          <w:lang w:val="en-US" w:eastAsia="zh-CN"/>
          <w14:textFill>
            <w14:solidFill>
              <w14:schemeClr w14:val="tx1"/>
            </w14:solidFill>
          </w14:textFill>
        </w:rPr>
      </w:pPr>
      <w:r>
        <w:rPr>
          <w:rFonts w:hint="eastAsia" w:ascii="楷体" w:hAnsi="楷体" w:eastAsia="楷体" w:cs="楷体"/>
          <w:b/>
          <w:bCs/>
          <w:color w:val="000000" w:themeColor="text1"/>
          <w:kern w:val="44"/>
          <w:sz w:val="28"/>
          <w:szCs w:val="28"/>
          <w:highlight w:val="none"/>
          <w:lang w:val="en-US" w:eastAsia="zh-CN"/>
          <w14:textFill>
            <w14:solidFill>
              <w14:schemeClr w14:val="tx1"/>
            </w14:solidFill>
          </w14:textFill>
        </w:rPr>
        <w:t>日期：2025年6月19日</w:t>
      </w:r>
    </w:p>
    <w:p w14:paraId="1E9C215C">
      <w:pPr>
        <w:pStyle w:val="28"/>
        <w:spacing w:line="360" w:lineRule="auto"/>
        <w:ind w:firstLine="0" w:firstLineChars="0"/>
        <w:jc w:val="center"/>
        <w:rPr>
          <w:rFonts w:hint="eastAsia" w:ascii="楷体" w:hAnsi="楷体" w:eastAsia="楷体" w:cs="楷体"/>
          <w:b/>
          <w:bCs/>
          <w:color w:val="000000" w:themeColor="text1"/>
          <w:kern w:val="44"/>
          <w:sz w:val="24"/>
          <w:szCs w:val="24"/>
          <w:highlight w:val="none"/>
          <w14:textFill>
            <w14:solidFill>
              <w14:schemeClr w14:val="tx1"/>
            </w14:solidFill>
          </w14:textFill>
        </w:rPr>
      </w:pPr>
    </w:p>
    <w:p w14:paraId="1BC602AE">
      <w:pPr>
        <w:pStyle w:val="28"/>
        <w:spacing w:line="360" w:lineRule="auto"/>
        <w:ind w:firstLine="0" w:firstLineChars="0"/>
        <w:jc w:val="center"/>
        <w:rPr>
          <w:rFonts w:hint="eastAsia" w:ascii="楷体" w:hAnsi="楷体" w:eastAsia="楷体" w:cs="楷体"/>
          <w:b/>
          <w:bCs/>
          <w:color w:val="000000" w:themeColor="text1"/>
          <w:kern w:val="44"/>
          <w:sz w:val="24"/>
          <w:szCs w:val="24"/>
          <w:highlight w:val="none"/>
          <w14:textFill>
            <w14:solidFill>
              <w14:schemeClr w14:val="tx1"/>
            </w14:solidFill>
          </w14:textFill>
        </w:rPr>
      </w:pPr>
    </w:p>
    <w:p w14:paraId="3A7C3216">
      <w:pPr>
        <w:pStyle w:val="28"/>
        <w:numPr>
          <w:ilvl w:val="0"/>
          <w:numId w:val="0"/>
        </w:numPr>
        <w:spacing w:line="360" w:lineRule="exact"/>
        <w:ind w:leftChars="0"/>
        <w:jc w:val="both"/>
        <w:rPr>
          <w:rFonts w:hint="eastAsia" w:ascii="楷体" w:hAnsi="楷体" w:eastAsia="楷体" w:cs="楷体"/>
          <w:color w:val="000000" w:themeColor="text1"/>
          <w:sz w:val="24"/>
          <w:szCs w:val="24"/>
          <w:highlight w:val="none"/>
          <w14:textFill>
            <w14:solidFill>
              <w14:schemeClr w14:val="tx1"/>
            </w14:solidFill>
          </w14:textFill>
        </w:rPr>
      </w:pPr>
    </w:p>
    <w:p w14:paraId="5FEF8189">
      <w:pPr>
        <w:pStyle w:val="28"/>
        <w:numPr>
          <w:ilvl w:val="0"/>
          <w:numId w:val="0"/>
        </w:numPr>
        <w:spacing w:line="360" w:lineRule="exact"/>
        <w:ind w:leftChars="0"/>
        <w:jc w:val="both"/>
        <w:rPr>
          <w:rFonts w:hint="eastAsia" w:ascii="楷体" w:hAnsi="楷体" w:eastAsia="楷体" w:cs="楷体"/>
          <w:color w:val="000000" w:themeColor="text1"/>
          <w:sz w:val="24"/>
          <w:szCs w:val="24"/>
          <w:highlight w:val="none"/>
          <w14:textFill>
            <w14:solidFill>
              <w14:schemeClr w14:val="tx1"/>
            </w14:solidFill>
          </w14:textFill>
        </w:rPr>
      </w:pPr>
    </w:p>
    <w:p w14:paraId="73E5A3C7">
      <w:pPr>
        <w:pStyle w:val="28"/>
        <w:numPr>
          <w:ilvl w:val="0"/>
          <w:numId w:val="1"/>
        </w:numPr>
        <w:spacing w:line="360" w:lineRule="exact"/>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公开询价函</w:t>
      </w:r>
    </w:p>
    <w:p w14:paraId="6630E68D">
      <w:pPr>
        <w:adjustRightInd w:val="0"/>
        <w:snapToGrid w:val="0"/>
        <w:spacing w:line="360" w:lineRule="exact"/>
        <w:jc w:val="right"/>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14:textFill>
            <w14:solidFill>
              <w14:schemeClr w14:val="tx1"/>
            </w14:solidFill>
          </w14:textFill>
        </w:rPr>
        <w:t xml:space="preserve">                  </w:t>
      </w:r>
    </w:p>
    <w:tbl>
      <w:tblPr>
        <w:tblStyle w:val="19"/>
        <w:tblW w:w="86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524"/>
        <w:gridCol w:w="5251"/>
      </w:tblGrid>
      <w:tr w14:paraId="2D4C0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8640" w:type="dxa"/>
            <w:gridSpan w:val="3"/>
            <w:tcBorders>
              <w:top w:val="single" w:color="auto" w:sz="8" w:space="0"/>
            </w:tcBorders>
            <w:vAlign w:val="center"/>
          </w:tcPr>
          <w:p w14:paraId="39FB210D">
            <w:pPr>
              <w:spacing w:line="360" w:lineRule="atLeas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 xml:space="preserve">      </w:t>
            </w:r>
            <w:r>
              <w:rPr>
                <w:rFonts w:hint="eastAsia" w:ascii="楷体" w:hAnsi="楷体" w:eastAsia="楷体" w:cs="楷体"/>
                <w:color w:val="000000" w:themeColor="text1"/>
                <w:sz w:val="24"/>
                <w:szCs w:val="24"/>
                <w:highlight w:val="none"/>
                <w:lang w:eastAsia="zh-CN"/>
                <w14:textFill>
                  <w14:solidFill>
                    <w14:schemeClr w14:val="tx1"/>
                  </w14:solidFill>
                </w14:textFill>
              </w:rPr>
              <w:t>海南洋浦陆海能源发展有限公司</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沥青船舶运输服务</w:t>
            </w:r>
            <w:r>
              <w:rPr>
                <w:rFonts w:hint="eastAsia" w:ascii="楷体" w:hAnsi="楷体" w:eastAsia="楷体" w:cs="楷体"/>
                <w:color w:val="000000" w:themeColor="text1"/>
                <w:sz w:val="24"/>
                <w:szCs w:val="24"/>
                <w:highlight w:val="none"/>
                <w:u w:val="none"/>
                <w:lang w:val="en-US"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根据需要，拟按照</w:t>
            </w:r>
            <w:r>
              <w:rPr>
                <w:rFonts w:hint="eastAsia" w:ascii="楷体" w:hAnsi="楷体" w:eastAsia="楷体" w:cs="楷体"/>
                <w:color w:val="000000" w:themeColor="text1"/>
                <w:sz w:val="24"/>
                <w:szCs w:val="24"/>
                <w:highlight w:val="none"/>
                <w:u w:val="single"/>
                <w14:textFill>
                  <w14:solidFill>
                    <w14:schemeClr w14:val="tx1"/>
                  </w14:solidFill>
                </w14:textFill>
              </w:rPr>
              <w:t>公开询价</w:t>
            </w:r>
            <w:r>
              <w:rPr>
                <w:rFonts w:hint="eastAsia" w:ascii="楷体" w:hAnsi="楷体" w:eastAsia="楷体" w:cs="楷体"/>
                <w:color w:val="000000" w:themeColor="text1"/>
                <w:sz w:val="24"/>
                <w:szCs w:val="24"/>
                <w:highlight w:val="none"/>
                <w14:textFill>
                  <w14:solidFill>
                    <w14:schemeClr w14:val="tx1"/>
                  </w14:solidFill>
                </w14:textFill>
              </w:rPr>
              <w:t>方式进行采购，具体采购事项如下：</w:t>
            </w:r>
          </w:p>
        </w:tc>
      </w:tr>
      <w:tr w14:paraId="7BCEF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65" w:type="dxa"/>
            <w:vAlign w:val="center"/>
          </w:tcPr>
          <w:p w14:paraId="71F8FD35">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序号</w:t>
            </w:r>
          </w:p>
        </w:tc>
        <w:tc>
          <w:tcPr>
            <w:tcW w:w="2524" w:type="dxa"/>
            <w:vAlign w:val="center"/>
          </w:tcPr>
          <w:p w14:paraId="7B6C4E72">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项目</w:t>
            </w:r>
          </w:p>
        </w:tc>
        <w:tc>
          <w:tcPr>
            <w:tcW w:w="5251" w:type="dxa"/>
            <w:vAlign w:val="center"/>
          </w:tcPr>
          <w:p w14:paraId="6B8E88E6">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内容</w:t>
            </w:r>
          </w:p>
        </w:tc>
      </w:tr>
      <w:tr w14:paraId="7BB7F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65" w:type="dxa"/>
            <w:vAlign w:val="center"/>
          </w:tcPr>
          <w:p w14:paraId="6CAE8BC3">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p>
        </w:tc>
        <w:tc>
          <w:tcPr>
            <w:tcW w:w="2524" w:type="dxa"/>
            <w:vAlign w:val="center"/>
          </w:tcPr>
          <w:p w14:paraId="4D7F831C">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公开询价单位</w:t>
            </w:r>
          </w:p>
        </w:tc>
        <w:tc>
          <w:tcPr>
            <w:tcW w:w="5251" w:type="dxa"/>
            <w:vAlign w:val="center"/>
          </w:tcPr>
          <w:p w14:paraId="09445CC9">
            <w:pPr>
              <w:spacing w:line="360" w:lineRule="atLeast"/>
              <w:jc w:val="center"/>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eastAsia="zh-CN"/>
                <w14:textFill>
                  <w14:solidFill>
                    <w14:schemeClr w14:val="tx1"/>
                  </w14:solidFill>
                </w14:textFill>
              </w:rPr>
              <w:t>海南洋浦陆海能源发展有限公司</w:t>
            </w:r>
          </w:p>
        </w:tc>
      </w:tr>
      <w:tr w14:paraId="539CA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865" w:type="dxa"/>
            <w:vAlign w:val="center"/>
          </w:tcPr>
          <w:p w14:paraId="537E5D86">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p>
        </w:tc>
        <w:tc>
          <w:tcPr>
            <w:tcW w:w="2524" w:type="dxa"/>
            <w:vAlign w:val="center"/>
          </w:tcPr>
          <w:p w14:paraId="3614BC05">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公开询价内容</w:t>
            </w:r>
          </w:p>
        </w:tc>
        <w:tc>
          <w:tcPr>
            <w:tcW w:w="5251" w:type="dxa"/>
            <w:vAlign w:val="center"/>
          </w:tcPr>
          <w:p w14:paraId="0788F98C">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填写内容：</w:t>
            </w:r>
          </w:p>
          <w:p w14:paraId="3E401951">
            <w:pPr>
              <w:spacing w:line="360" w:lineRule="atLeast"/>
              <w:ind w:left="720" w:hanging="720" w:hangingChars="30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1.采购</w:t>
            </w:r>
            <w:r>
              <w:rPr>
                <w:rFonts w:hint="eastAsia" w:ascii="楷体" w:hAnsi="楷体" w:eastAsia="楷体" w:cs="楷体"/>
                <w:color w:val="000000" w:themeColor="text1"/>
                <w:sz w:val="24"/>
                <w:szCs w:val="24"/>
                <w:highlight w:val="none"/>
                <w:lang w:val="en-US" w:eastAsia="zh-CN"/>
                <w14:textFill>
                  <w14:solidFill>
                    <w14:schemeClr w14:val="tx1"/>
                  </w14:solidFill>
                </w14:textFill>
              </w:rPr>
              <w:t>服务内容</w:t>
            </w:r>
            <w:r>
              <w:rPr>
                <w:rFonts w:hint="eastAsia" w:ascii="楷体" w:hAnsi="楷体" w:eastAsia="楷体" w:cs="楷体"/>
                <w:color w:val="000000" w:themeColor="text1"/>
                <w:sz w:val="24"/>
                <w:szCs w:val="24"/>
                <w:highlight w:val="none"/>
                <w14:textFill>
                  <w14:solidFill>
                    <w14:schemeClr w14:val="tx1"/>
                  </w14:solidFill>
                </w14:textFill>
              </w:rPr>
              <w:t>（详见报价书）；</w:t>
            </w:r>
          </w:p>
          <w:p w14:paraId="123C23EF">
            <w:pPr>
              <w:spacing w:line="360" w:lineRule="atLeast"/>
              <w:ind w:left="720" w:hanging="720" w:hangingChars="30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lang w:val="en-US" w:eastAsia="zh-CN"/>
                <w14:textFill>
                  <w14:solidFill>
                    <w14:schemeClr w14:val="tx1"/>
                  </w14:solidFill>
                </w14:textFill>
              </w:rPr>
              <w:t>服务</w:t>
            </w:r>
            <w:r>
              <w:rPr>
                <w:rFonts w:hint="eastAsia" w:ascii="楷体" w:hAnsi="楷体" w:eastAsia="楷体" w:cs="楷体"/>
                <w:color w:val="000000" w:themeColor="text1"/>
                <w:sz w:val="24"/>
                <w:szCs w:val="24"/>
                <w:highlight w:val="none"/>
                <w14:textFill>
                  <w14:solidFill>
                    <w14:schemeClr w14:val="tx1"/>
                  </w14:solidFill>
                </w14:textFill>
              </w:rPr>
              <w:t>标准及</w:t>
            </w:r>
            <w:r>
              <w:rPr>
                <w:rFonts w:hint="eastAsia" w:ascii="楷体" w:hAnsi="楷体" w:eastAsia="楷体" w:cs="楷体"/>
                <w:color w:val="000000" w:themeColor="text1"/>
                <w:sz w:val="24"/>
                <w:szCs w:val="24"/>
                <w:highlight w:val="none"/>
                <w:lang w:val="en-US" w:eastAsia="zh-CN"/>
                <w14:textFill>
                  <w14:solidFill>
                    <w14:schemeClr w14:val="tx1"/>
                  </w14:solidFill>
                </w14:textFill>
              </w:rPr>
              <w:t>相关</w:t>
            </w:r>
            <w:r>
              <w:rPr>
                <w:rFonts w:hint="eastAsia" w:ascii="楷体" w:hAnsi="楷体" w:eastAsia="楷体" w:cs="楷体"/>
                <w:color w:val="000000" w:themeColor="text1"/>
                <w:sz w:val="24"/>
                <w:szCs w:val="24"/>
                <w:highlight w:val="none"/>
                <w14:textFill>
                  <w14:solidFill>
                    <w14:schemeClr w14:val="tx1"/>
                  </w14:solidFill>
                </w14:textFill>
              </w:rPr>
              <w:t>要求等（详见公开询价说明）；</w:t>
            </w:r>
          </w:p>
          <w:p w14:paraId="41F428C8">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3.公开询价报价文件获取方式：在网页附件处下载电子版文件</w:t>
            </w:r>
          </w:p>
        </w:tc>
      </w:tr>
      <w:tr w14:paraId="60233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865" w:type="dxa"/>
            <w:vAlign w:val="center"/>
          </w:tcPr>
          <w:p w14:paraId="552FD5FF">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p>
        </w:tc>
        <w:tc>
          <w:tcPr>
            <w:tcW w:w="2524" w:type="dxa"/>
            <w:vAlign w:val="center"/>
          </w:tcPr>
          <w:p w14:paraId="03A42637">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开始时间</w:t>
            </w:r>
          </w:p>
        </w:tc>
        <w:tc>
          <w:tcPr>
            <w:tcW w:w="5251" w:type="dxa"/>
            <w:vAlign w:val="center"/>
          </w:tcPr>
          <w:p w14:paraId="1660904F">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202</w:t>
            </w:r>
            <w:r>
              <w:rPr>
                <w:rFonts w:hint="eastAsia" w:ascii="楷体" w:hAnsi="楷体" w:eastAsia="楷体" w:cs="楷体"/>
                <w:color w:val="000000" w:themeColor="text1"/>
                <w:sz w:val="24"/>
                <w:szCs w:val="24"/>
                <w:highlight w:val="none"/>
                <w:lang w:val="en-US" w:eastAsia="zh-CN"/>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年</w:t>
            </w:r>
            <w:r>
              <w:rPr>
                <w:rFonts w:hint="eastAsia" w:ascii="楷体" w:hAnsi="楷体" w:eastAsia="楷体" w:cs="楷体"/>
                <w:color w:val="000000" w:themeColor="text1"/>
                <w:sz w:val="24"/>
                <w:szCs w:val="24"/>
                <w:highlight w:val="none"/>
                <w:lang w:val="en-US" w:eastAsia="zh-CN"/>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lang w:val="en-US" w:eastAsia="zh-CN"/>
                <w14:textFill>
                  <w14:solidFill>
                    <w14:schemeClr w14:val="tx1"/>
                  </w14:solidFill>
                </w14:textFill>
              </w:rPr>
              <w:t>19</w:t>
            </w:r>
            <w:r>
              <w:rPr>
                <w:rFonts w:hint="eastAsia" w:ascii="楷体" w:hAnsi="楷体" w:eastAsia="楷体" w:cs="楷体"/>
                <w:color w:val="000000" w:themeColor="text1"/>
                <w:sz w:val="24"/>
                <w:szCs w:val="24"/>
                <w:highlight w:val="none"/>
                <w14:textFill>
                  <w14:solidFill>
                    <w14:schemeClr w14:val="tx1"/>
                  </w14:solidFill>
                </w14:textFill>
              </w:rPr>
              <w:t>日</w:t>
            </w:r>
          </w:p>
        </w:tc>
      </w:tr>
      <w:tr w14:paraId="47A9B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5" w:hRule="exact"/>
        </w:trPr>
        <w:tc>
          <w:tcPr>
            <w:tcW w:w="865" w:type="dxa"/>
            <w:vAlign w:val="center"/>
          </w:tcPr>
          <w:p w14:paraId="27093BC9">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p>
        </w:tc>
        <w:tc>
          <w:tcPr>
            <w:tcW w:w="2524" w:type="dxa"/>
            <w:vAlign w:val="center"/>
          </w:tcPr>
          <w:p w14:paraId="28349194">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报价书递交时间地点</w:t>
            </w:r>
          </w:p>
        </w:tc>
        <w:tc>
          <w:tcPr>
            <w:tcW w:w="5251" w:type="dxa"/>
            <w:vAlign w:val="center"/>
          </w:tcPr>
          <w:p w14:paraId="0FF3902C">
            <w:pPr>
              <w:spacing w:line="360" w:lineRule="atLeast"/>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截至202</w:t>
            </w:r>
            <w:r>
              <w:rPr>
                <w:rFonts w:hint="eastAsia" w:ascii="楷体" w:hAnsi="楷体" w:eastAsia="楷体" w:cs="楷体"/>
                <w:color w:val="000000" w:themeColor="text1"/>
                <w:sz w:val="24"/>
                <w:szCs w:val="24"/>
                <w:highlight w:val="none"/>
                <w:lang w:val="en-US" w:eastAsia="zh-CN"/>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年</w:t>
            </w:r>
            <w:r>
              <w:rPr>
                <w:rFonts w:hint="eastAsia" w:ascii="楷体" w:hAnsi="楷体" w:eastAsia="楷体" w:cs="楷体"/>
                <w:color w:val="000000" w:themeColor="text1"/>
                <w:sz w:val="24"/>
                <w:szCs w:val="24"/>
                <w:highlight w:val="none"/>
                <w:lang w:val="en-US" w:eastAsia="zh-CN"/>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lang w:val="en-US" w:eastAsia="zh-CN"/>
                <w14:textFill>
                  <w14:solidFill>
                    <w14:schemeClr w14:val="tx1"/>
                  </w14:solidFill>
                </w14:textFill>
              </w:rPr>
              <w:t>24</w:t>
            </w:r>
            <w:r>
              <w:rPr>
                <w:rFonts w:hint="eastAsia" w:ascii="楷体" w:hAnsi="楷体" w:eastAsia="楷体" w:cs="楷体"/>
                <w:color w:val="000000" w:themeColor="text1"/>
                <w:sz w:val="24"/>
                <w:szCs w:val="24"/>
                <w:highlight w:val="none"/>
                <w14:textFill>
                  <w14:solidFill>
                    <w14:schemeClr w14:val="tx1"/>
                  </w14:solidFill>
                </w14:textFill>
              </w:rPr>
              <w:t>日</w:t>
            </w:r>
            <w:r>
              <w:rPr>
                <w:rFonts w:hint="eastAsia" w:ascii="楷体" w:hAnsi="楷体" w:eastAsia="楷体" w:cs="楷体"/>
                <w:color w:val="000000" w:themeColor="text1"/>
                <w:sz w:val="24"/>
                <w:szCs w:val="24"/>
                <w:highlight w:val="none"/>
                <w:lang w:val="en-US" w:eastAsia="zh-CN"/>
                <w14:textFill>
                  <w14:solidFill>
                    <w14:schemeClr w14:val="tx1"/>
                  </w14:solidFill>
                </w14:textFill>
              </w:rPr>
              <w:t>上午</w:t>
            </w: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lang w:val="en-US" w:eastAsia="zh-CN"/>
                <w14:textFill>
                  <w14:solidFill>
                    <w14:schemeClr w14:val="tx1"/>
                  </w14:solidFill>
                </w14:textFill>
              </w:rPr>
              <w:t>0</w:t>
            </w:r>
            <w:r>
              <w:rPr>
                <w:rFonts w:hint="eastAsia" w:ascii="楷体" w:hAnsi="楷体" w:eastAsia="楷体" w:cs="楷体"/>
                <w:color w:val="000000" w:themeColor="text1"/>
                <w:sz w:val="24"/>
                <w:szCs w:val="24"/>
                <w:highlight w:val="none"/>
                <w14:textFill>
                  <w14:solidFill>
                    <w14:schemeClr w14:val="tx1"/>
                  </w14:solidFill>
                </w14:textFill>
              </w:rPr>
              <w:t>：0</w:t>
            </w:r>
            <w:r>
              <w:rPr>
                <w:rFonts w:hint="eastAsia" w:ascii="楷体" w:hAnsi="楷体" w:eastAsia="楷体" w:cs="楷体"/>
                <w:color w:val="000000" w:themeColor="text1"/>
                <w:sz w:val="24"/>
                <w:szCs w:val="24"/>
                <w:highlight w:val="none"/>
                <w:lang w:val="en-US" w:eastAsia="zh-CN"/>
                <w14:textFill>
                  <w14:solidFill>
                    <w14:schemeClr w14:val="tx1"/>
                  </w14:solidFill>
                </w14:textFill>
              </w:rPr>
              <w:t>0纸质版递交至洋浦大厦3楼311室或</w:t>
            </w:r>
            <w:r>
              <w:rPr>
                <w:rFonts w:hint="eastAsia" w:ascii="楷体" w:hAnsi="楷体" w:eastAsia="楷体" w:cs="楷体"/>
                <w:color w:val="000000" w:themeColor="text1"/>
                <w:sz w:val="24"/>
                <w:szCs w:val="24"/>
                <w:highlight w:val="none"/>
                <w14:textFill>
                  <w14:solidFill>
                    <w14:schemeClr w14:val="tx1"/>
                  </w14:solidFill>
                </w14:textFill>
              </w:rPr>
              <w:t>电子版发送至指定电子邮箱luhaimygs@hnyplh.com。</w:t>
            </w:r>
          </w:p>
        </w:tc>
      </w:tr>
      <w:tr w14:paraId="545C5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865" w:type="dxa"/>
            <w:vAlign w:val="center"/>
          </w:tcPr>
          <w:p w14:paraId="509C0F1B">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p>
        </w:tc>
        <w:tc>
          <w:tcPr>
            <w:tcW w:w="2524" w:type="dxa"/>
            <w:vAlign w:val="center"/>
          </w:tcPr>
          <w:p w14:paraId="14AB605F">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联系人及电话</w:t>
            </w:r>
          </w:p>
        </w:tc>
        <w:tc>
          <w:tcPr>
            <w:tcW w:w="5251" w:type="dxa"/>
            <w:vAlign w:val="center"/>
          </w:tcPr>
          <w:p w14:paraId="0CCEB811">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胡工</w:t>
            </w:r>
            <w:r>
              <w:rPr>
                <w:rFonts w:hint="eastAsia" w:ascii="楷体" w:hAnsi="楷体" w:eastAsia="楷体" w:cs="楷体"/>
                <w:color w:val="000000" w:themeColor="text1"/>
                <w:sz w:val="24"/>
                <w:szCs w:val="24"/>
                <w:highlight w:val="none"/>
                <w14:textFill>
                  <w14:solidFill>
                    <w14:schemeClr w14:val="tx1"/>
                  </w14:solidFill>
                </w14:textFill>
              </w:rPr>
              <w:t>/0898-28810376</w:t>
            </w:r>
          </w:p>
        </w:tc>
      </w:tr>
      <w:tr w14:paraId="6DBA85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9" w:hRule="exact"/>
        </w:trPr>
        <w:tc>
          <w:tcPr>
            <w:tcW w:w="865" w:type="dxa"/>
            <w:vAlign w:val="center"/>
          </w:tcPr>
          <w:p w14:paraId="5A896E1D">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auto"/>
                <w:sz w:val="24"/>
                <w:szCs w:val="24"/>
                <w:highlight w:val="none"/>
                <w:lang w:val="en-US" w:eastAsia="zh-CN"/>
              </w:rPr>
              <w:t>6</w:t>
            </w:r>
          </w:p>
        </w:tc>
        <w:tc>
          <w:tcPr>
            <w:tcW w:w="2524" w:type="dxa"/>
            <w:vAlign w:val="center"/>
          </w:tcPr>
          <w:p w14:paraId="6C13DE23">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auto"/>
                <w:sz w:val="24"/>
                <w:szCs w:val="24"/>
                <w:highlight w:val="none"/>
                <w:lang w:val="en-US" w:eastAsia="zh-CN"/>
              </w:rPr>
              <w:t>评分方法</w:t>
            </w:r>
          </w:p>
        </w:tc>
        <w:tc>
          <w:tcPr>
            <w:tcW w:w="5251" w:type="dxa"/>
            <w:vAlign w:val="center"/>
          </w:tcPr>
          <w:p w14:paraId="31F79911">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低价评审法</w:t>
            </w:r>
          </w:p>
          <w:p w14:paraId="1E014056">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（1）符合性评审：</w:t>
            </w:r>
          </w:p>
          <w:p w14:paraId="1B337FD9">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符合第四章报价书（格式）要求。</w:t>
            </w:r>
          </w:p>
          <w:p w14:paraId="294CE0BF">
            <w:pPr>
              <w:spacing w:line="360" w:lineRule="atLeast"/>
              <w:jc w:val="lef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（2）价格评审：通过符合性审查的报价单位，进入价格评审。按照报价单位的报价（运费单价之和）由低到高确定候选人。</w:t>
            </w:r>
          </w:p>
          <w:p w14:paraId="7603A1CC">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p>
        </w:tc>
      </w:tr>
      <w:tr w14:paraId="65E2F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65" w:type="dxa"/>
            <w:vAlign w:val="center"/>
          </w:tcPr>
          <w:p w14:paraId="22DE5709">
            <w:pPr>
              <w:spacing w:line="360" w:lineRule="atLeast"/>
              <w:jc w:val="cente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7</w:t>
            </w:r>
          </w:p>
        </w:tc>
        <w:tc>
          <w:tcPr>
            <w:tcW w:w="2524" w:type="dxa"/>
            <w:vAlign w:val="center"/>
          </w:tcPr>
          <w:p w14:paraId="68D8F0B2">
            <w:pPr>
              <w:spacing w:line="360" w:lineRule="atLeast"/>
              <w:jc w:val="center"/>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廉政监督电话</w:t>
            </w:r>
          </w:p>
        </w:tc>
        <w:tc>
          <w:tcPr>
            <w:tcW w:w="5251" w:type="dxa"/>
            <w:vAlign w:val="center"/>
          </w:tcPr>
          <w:p w14:paraId="62A10E08">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0898-28810186</w:t>
            </w:r>
          </w:p>
        </w:tc>
      </w:tr>
      <w:tr w14:paraId="5F2FC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65" w:type="dxa"/>
            <w:vAlign w:val="center"/>
          </w:tcPr>
          <w:p w14:paraId="07D2F795">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8</w:t>
            </w:r>
          </w:p>
        </w:tc>
        <w:tc>
          <w:tcPr>
            <w:tcW w:w="2524" w:type="dxa"/>
            <w:vAlign w:val="center"/>
          </w:tcPr>
          <w:p w14:paraId="26F1589E">
            <w:pPr>
              <w:spacing w:line="360" w:lineRule="atLeast"/>
              <w:jc w:val="center"/>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控制价</w:t>
            </w:r>
          </w:p>
        </w:tc>
        <w:tc>
          <w:tcPr>
            <w:tcW w:w="5251" w:type="dxa"/>
            <w:vAlign w:val="center"/>
          </w:tcPr>
          <w:p w14:paraId="59BB8FB6">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auto"/>
                <w:sz w:val="24"/>
                <w:szCs w:val="24"/>
                <w:highlight w:val="none"/>
                <w:lang w:val="en-US" w:eastAsia="zh-CN"/>
              </w:rPr>
              <w:t>2627元/吨（以报价单各航线船运费用单价合计为准）</w:t>
            </w:r>
          </w:p>
        </w:tc>
      </w:tr>
      <w:tr w14:paraId="10516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865" w:type="dxa"/>
            <w:vAlign w:val="center"/>
          </w:tcPr>
          <w:p w14:paraId="2C31E32F">
            <w:pPr>
              <w:spacing w:line="360" w:lineRule="atLeast"/>
              <w:jc w:val="center"/>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9</w:t>
            </w:r>
          </w:p>
        </w:tc>
        <w:tc>
          <w:tcPr>
            <w:tcW w:w="2524" w:type="dxa"/>
            <w:vAlign w:val="center"/>
          </w:tcPr>
          <w:p w14:paraId="695439AC">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装/卸货港</w:t>
            </w:r>
          </w:p>
        </w:tc>
        <w:tc>
          <w:tcPr>
            <w:tcW w:w="5251" w:type="dxa"/>
            <w:vAlign w:val="center"/>
          </w:tcPr>
          <w:p w14:paraId="76DB8B46">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见报价单</w:t>
            </w:r>
          </w:p>
        </w:tc>
      </w:tr>
      <w:tr w14:paraId="31B930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865" w:type="dxa"/>
            <w:vAlign w:val="center"/>
          </w:tcPr>
          <w:p w14:paraId="668DFA19">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10</w:t>
            </w:r>
          </w:p>
        </w:tc>
        <w:tc>
          <w:tcPr>
            <w:tcW w:w="2524" w:type="dxa"/>
            <w:vAlign w:val="center"/>
          </w:tcPr>
          <w:p w14:paraId="4B35463D">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预计装货时间</w:t>
            </w:r>
          </w:p>
        </w:tc>
        <w:tc>
          <w:tcPr>
            <w:tcW w:w="5251" w:type="dxa"/>
            <w:vAlign w:val="center"/>
          </w:tcPr>
          <w:p w14:paraId="4C28FE64">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以甲方通知为准</w:t>
            </w:r>
          </w:p>
        </w:tc>
      </w:tr>
      <w:tr w14:paraId="40441C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2" w:hRule="exact"/>
        </w:trPr>
        <w:tc>
          <w:tcPr>
            <w:tcW w:w="865" w:type="dxa"/>
            <w:vAlign w:val="center"/>
          </w:tcPr>
          <w:p w14:paraId="04E3BA04">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11</w:t>
            </w:r>
          </w:p>
        </w:tc>
        <w:tc>
          <w:tcPr>
            <w:tcW w:w="2524" w:type="dxa"/>
            <w:vAlign w:val="center"/>
          </w:tcPr>
          <w:p w14:paraId="0F615F28">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服务期限</w:t>
            </w:r>
          </w:p>
        </w:tc>
        <w:tc>
          <w:tcPr>
            <w:tcW w:w="5251" w:type="dxa"/>
            <w:vAlign w:val="center"/>
          </w:tcPr>
          <w:p w14:paraId="74848836">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一年（</w:t>
            </w:r>
            <w:r>
              <w:rPr>
                <w:rFonts w:hint="eastAsia" w:ascii="楷体" w:hAnsi="楷体" w:eastAsia="楷体" w:cs="楷体"/>
                <w:color w:val="auto"/>
                <w:sz w:val="24"/>
                <w:szCs w:val="24"/>
                <w:highlight w:val="none"/>
                <w:lang w:val="en-US" w:eastAsia="zh-CN"/>
              </w:rPr>
              <w:t>1年后按</w:t>
            </w:r>
            <w:r>
              <w:rPr>
                <w:rFonts w:hint="eastAsia" w:ascii="楷体" w:hAnsi="楷体" w:eastAsia="楷体" w:cs="楷体"/>
                <w:bCs/>
                <w:color w:val="auto"/>
                <w:sz w:val="24"/>
                <w:szCs w:val="24"/>
                <w:highlight w:val="none"/>
              </w:rPr>
              <w:t>供应商参与条件</w:t>
            </w:r>
            <w:r>
              <w:rPr>
                <w:rFonts w:hint="eastAsia" w:ascii="楷体" w:hAnsi="楷体" w:eastAsia="楷体" w:cs="楷体"/>
                <w:bCs/>
                <w:color w:val="auto"/>
                <w:sz w:val="24"/>
                <w:szCs w:val="24"/>
                <w:highlight w:val="none"/>
                <w:lang w:val="en-US" w:eastAsia="zh-CN"/>
              </w:rPr>
              <w:t>从新审查，满足条件者继续签订合同，后续每年按此执行）</w:t>
            </w:r>
          </w:p>
        </w:tc>
      </w:tr>
    </w:tbl>
    <w:p w14:paraId="0CD6B04B">
      <w:pPr>
        <w:pStyle w:val="28"/>
        <w:spacing w:line="360" w:lineRule="auto"/>
        <w:ind w:firstLine="0" w:firstLineChars="0"/>
        <w:rPr>
          <w:rFonts w:hint="eastAsia" w:ascii="楷体" w:hAnsi="楷体" w:eastAsia="楷体" w:cs="楷体"/>
          <w:b/>
          <w:bCs/>
          <w:color w:val="000000" w:themeColor="text1"/>
          <w:kern w:val="44"/>
          <w:sz w:val="24"/>
          <w:szCs w:val="24"/>
          <w:highlight w:val="none"/>
          <w14:textFill>
            <w14:solidFill>
              <w14:schemeClr w14:val="tx1"/>
            </w14:solidFill>
          </w14:textFill>
        </w:rPr>
      </w:pPr>
    </w:p>
    <w:p w14:paraId="30130DE5">
      <w:pPr>
        <w:pStyle w:val="28"/>
        <w:spacing w:line="360" w:lineRule="auto"/>
        <w:ind w:firstLine="0" w:firstLineChars="0"/>
        <w:jc w:val="both"/>
        <w:rPr>
          <w:rFonts w:hint="eastAsia" w:ascii="楷体" w:hAnsi="楷体" w:eastAsia="楷体" w:cs="楷体"/>
          <w:b/>
          <w:bCs/>
          <w:color w:val="000000" w:themeColor="text1"/>
          <w:kern w:val="44"/>
          <w:sz w:val="24"/>
          <w:szCs w:val="24"/>
          <w:highlight w:val="none"/>
          <w14:textFill>
            <w14:solidFill>
              <w14:schemeClr w14:val="tx1"/>
            </w14:solidFill>
          </w14:textFill>
        </w:rPr>
      </w:pPr>
    </w:p>
    <w:p w14:paraId="10A4D90A">
      <w:pPr>
        <w:pStyle w:val="2"/>
        <w:spacing w:before="0" w:line="240" w:lineRule="auto"/>
        <w:jc w:val="center"/>
        <w:rPr>
          <w:rFonts w:hint="eastAsia" w:ascii="楷体" w:hAnsi="楷体" w:eastAsia="楷体" w:cs="楷体"/>
          <w:color w:val="auto"/>
          <w:highlight w:val="none"/>
          <w:lang w:val="en-US" w:eastAsia="zh-CN"/>
        </w:rPr>
      </w:pPr>
      <w:r>
        <w:rPr>
          <w:rFonts w:hint="eastAsia" w:ascii="楷体" w:hAnsi="楷体" w:eastAsia="楷体" w:cs="楷体"/>
          <w:color w:val="auto"/>
          <w:szCs w:val="24"/>
          <w:highlight w:val="none"/>
        </w:rPr>
        <w:t>第二章</w:t>
      </w:r>
      <w:r>
        <w:rPr>
          <w:rFonts w:hint="eastAsia" w:ascii="楷体" w:hAnsi="楷体" w:eastAsia="楷体" w:cs="楷体"/>
          <w:color w:val="auto"/>
          <w:szCs w:val="24"/>
          <w:highlight w:val="none"/>
          <w:lang w:val="en-US" w:eastAsia="zh-CN"/>
        </w:rPr>
        <w:t xml:space="preserve"> 报价人须知</w:t>
      </w:r>
    </w:p>
    <w:p w14:paraId="21D2AEE3">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2" w:name="_Toc343692940"/>
      <w:bookmarkStart w:id="3" w:name="_Toc343700738"/>
      <w:r>
        <w:rPr>
          <w:rFonts w:hint="eastAsia" w:ascii="楷体" w:hAnsi="楷体" w:eastAsia="楷体" w:cs="楷体"/>
          <w:color w:val="auto"/>
          <w:sz w:val="24"/>
          <w:szCs w:val="24"/>
          <w:highlight w:val="none"/>
        </w:rPr>
        <w:t>一、总则</w:t>
      </w:r>
      <w:bookmarkEnd w:id="2"/>
      <w:bookmarkEnd w:id="3"/>
    </w:p>
    <w:p w14:paraId="138EC47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(一)原则</w:t>
      </w:r>
    </w:p>
    <w:p w14:paraId="3FC0B26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坚持公开、公正、公平和诚实信用的原则。坚持质量优先，价格合理，科学评估，规范运作</w:t>
      </w:r>
      <w:r>
        <w:rPr>
          <w:rFonts w:hint="eastAsia" w:ascii="楷体" w:hAnsi="楷体" w:eastAsia="楷体" w:cs="楷体"/>
          <w:bCs/>
          <w:color w:val="auto"/>
          <w:sz w:val="24"/>
          <w:szCs w:val="24"/>
          <w:highlight w:val="none"/>
          <w:lang w:eastAsia="zh-CN"/>
        </w:rPr>
        <w:t>。</w:t>
      </w:r>
    </w:p>
    <w:p w14:paraId="396D7B7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(二) </w:t>
      </w:r>
      <w:r>
        <w:rPr>
          <w:rFonts w:hint="eastAsia" w:ascii="楷体" w:hAnsi="楷体" w:eastAsia="楷体" w:cs="楷体"/>
          <w:bCs/>
          <w:color w:val="auto"/>
          <w:sz w:val="24"/>
          <w:szCs w:val="24"/>
          <w:highlight w:val="none"/>
          <w:lang w:val="en-US" w:eastAsia="zh-CN"/>
        </w:rPr>
        <w:t>供应商参与报价条件</w:t>
      </w:r>
    </w:p>
    <w:p w14:paraId="09DF5B4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en-US" w:eastAsia="zh-CN"/>
        </w:rPr>
        <w:t>参与人是船舶所有人或船舶代理公司，</w:t>
      </w:r>
      <w:r>
        <w:rPr>
          <w:rFonts w:hint="eastAsia" w:ascii="楷体" w:hAnsi="楷体" w:eastAsia="楷体" w:cs="楷体"/>
          <w:bCs/>
          <w:color w:val="auto"/>
          <w:sz w:val="24"/>
          <w:szCs w:val="24"/>
          <w:highlight w:val="none"/>
        </w:rPr>
        <w:t>具备法律主体资格</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如果参与者非自有船舶需提供船舶承租合同（采购单位有权对成交候选单位进行考察时查验）</w:t>
      </w:r>
      <w:r>
        <w:rPr>
          <w:rFonts w:hint="eastAsia" w:ascii="楷体" w:hAnsi="楷体" w:eastAsia="楷体" w:cs="楷体"/>
          <w:bCs/>
          <w:color w:val="auto"/>
          <w:sz w:val="24"/>
          <w:szCs w:val="24"/>
          <w:highlight w:val="none"/>
        </w:rPr>
        <w:t>。</w:t>
      </w:r>
    </w:p>
    <w:p w14:paraId="306416B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0000FF"/>
          <w:sz w:val="24"/>
          <w:szCs w:val="24"/>
          <w:highlight w:val="none"/>
        </w:rPr>
      </w:pPr>
      <w:r>
        <w:rPr>
          <w:rFonts w:hint="eastAsia" w:ascii="楷体" w:hAnsi="楷体" w:eastAsia="楷体" w:cs="楷体"/>
          <w:bCs/>
          <w:color w:val="auto"/>
          <w:sz w:val="24"/>
          <w:szCs w:val="24"/>
          <w:highlight w:val="none"/>
        </w:rPr>
        <w:t>2、具备国家有关部门、行业要求必须取得的</w:t>
      </w:r>
      <w:r>
        <w:rPr>
          <w:rFonts w:hint="eastAsia" w:ascii="楷体" w:hAnsi="楷体" w:eastAsia="楷体" w:cs="楷体"/>
          <w:bCs/>
          <w:color w:val="auto"/>
          <w:sz w:val="24"/>
          <w:szCs w:val="24"/>
          <w:highlight w:val="none"/>
          <w:lang w:val="en-US" w:eastAsia="zh-CN"/>
        </w:rPr>
        <w:t>相关认</w:t>
      </w:r>
      <w:r>
        <w:rPr>
          <w:rFonts w:hint="eastAsia" w:ascii="楷体" w:hAnsi="楷体" w:eastAsia="楷体" w:cs="楷体"/>
          <w:bCs/>
          <w:color w:val="auto"/>
          <w:sz w:val="24"/>
          <w:szCs w:val="24"/>
          <w:highlight w:val="none"/>
        </w:rPr>
        <w:t>证及其他经营许可</w:t>
      </w:r>
      <w:r>
        <w:rPr>
          <w:rFonts w:hint="eastAsia" w:ascii="楷体" w:hAnsi="楷体" w:eastAsia="楷体" w:cs="楷体"/>
          <w:bCs/>
          <w:color w:val="auto"/>
          <w:sz w:val="24"/>
          <w:szCs w:val="24"/>
          <w:highlight w:val="none"/>
          <w:lang w:val="en-US" w:eastAsia="zh-CN"/>
        </w:rPr>
        <w:t>且在有效期内</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按有关部门完成检验要求</w:t>
      </w:r>
      <w:r>
        <w:rPr>
          <w:rFonts w:hint="eastAsia" w:ascii="楷体" w:hAnsi="楷体" w:eastAsia="楷体" w:cs="楷体"/>
          <w:bCs/>
          <w:color w:val="auto"/>
          <w:sz w:val="24"/>
          <w:szCs w:val="24"/>
          <w:highlight w:val="none"/>
        </w:rPr>
        <w:t>。</w:t>
      </w:r>
    </w:p>
    <w:p w14:paraId="6649B3F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4、具有良好的商业信誉</w:t>
      </w:r>
      <w:r>
        <w:rPr>
          <w:rFonts w:hint="eastAsia" w:ascii="楷体" w:hAnsi="楷体" w:eastAsia="楷体" w:cs="楷体"/>
          <w:bCs/>
          <w:color w:val="auto"/>
          <w:sz w:val="24"/>
          <w:szCs w:val="24"/>
          <w:highlight w:val="none"/>
          <w:lang w:eastAsia="zh-CN"/>
        </w:rPr>
        <w:t>。</w:t>
      </w:r>
    </w:p>
    <w:p w14:paraId="2B97D60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5、参与人应不存在可能会影响航次任务的、未解决的诉讼、争议、仲裁等负面事件。</w:t>
      </w:r>
    </w:p>
    <w:p w14:paraId="72A650B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(三)采购范围和交易方式</w:t>
      </w:r>
    </w:p>
    <w:p w14:paraId="6441B14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结束后，向</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企业发放《</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通知书》，</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企业凭《</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通知书》按照</w:t>
      </w:r>
      <w:r>
        <w:rPr>
          <w:rFonts w:hint="eastAsia" w:ascii="楷体" w:hAnsi="楷体" w:eastAsia="楷体" w:cs="楷体"/>
          <w:bCs/>
          <w:color w:val="auto"/>
          <w:sz w:val="24"/>
          <w:szCs w:val="24"/>
          <w:highlight w:val="none"/>
          <w:lang w:val="en-US" w:eastAsia="zh-CN"/>
        </w:rPr>
        <w:t>报价书价格</w:t>
      </w:r>
      <w:r>
        <w:rPr>
          <w:rFonts w:hint="eastAsia" w:ascii="楷体" w:hAnsi="楷体" w:eastAsia="楷体" w:cs="楷体"/>
          <w:bCs/>
          <w:color w:val="auto"/>
          <w:sz w:val="24"/>
          <w:szCs w:val="24"/>
          <w:highlight w:val="none"/>
        </w:rPr>
        <w:t>签定具体采购合同。</w:t>
      </w:r>
    </w:p>
    <w:p w14:paraId="152E0C7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eastAsia="zh-CN"/>
        </w:rPr>
        <w:t>提供服务</w:t>
      </w:r>
      <w:r>
        <w:rPr>
          <w:rFonts w:hint="eastAsia" w:ascii="楷体" w:hAnsi="楷体" w:eastAsia="楷体" w:cs="楷体"/>
          <w:bCs/>
          <w:color w:val="auto"/>
          <w:sz w:val="24"/>
          <w:szCs w:val="24"/>
          <w:highlight w:val="none"/>
        </w:rPr>
        <w:t>和结算方式：</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企业根据合同</w:t>
      </w:r>
      <w:r>
        <w:rPr>
          <w:rFonts w:hint="eastAsia" w:ascii="楷体" w:hAnsi="楷体" w:eastAsia="楷体" w:cs="楷体"/>
          <w:bCs/>
          <w:color w:val="auto"/>
          <w:sz w:val="24"/>
          <w:szCs w:val="24"/>
          <w:highlight w:val="none"/>
          <w:lang w:eastAsia="zh-CN"/>
        </w:rPr>
        <w:t>提供运输服务</w:t>
      </w:r>
      <w:r>
        <w:rPr>
          <w:rFonts w:hint="eastAsia" w:ascii="楷体" w:hAnsi="楷体" w:eastAsia="楷体" w:cs="楷体"/>
          <w:bCs/>
          <w:color w:val="auto"/>
          <w:sz w:val="24"/>
          <w:szCs w:val="24"/>
          <w:highlight w:val="none"/>
        </w:rPr>
        <w:t>，货款按合同规定结算。</w:t>
      </w:r>
    </w:p>
    <w:p w14:paraId="3CD28CC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eastAsia="zh-CN"/>
        </w:rPr>
        <w:t>提供运输服务</w:t>
      </w:r>
      <w:r>
        <w:rPr>
          <w:rFonts w:hint="eastAsia" w:ascii="楷体" w:hAnsi="楷体" w:eastAsia="楷体" w:cs="楷体"/>
          <w:bCs/>
          <w:color w:val="auto"/>
          <w:sz w:val="24"/>
          <w:szCs w:val="24"/>
          <w:highlight w:val="none"/>
        </w:rPr>
        <w:t>过程中，如发现</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单位实际不具备</w:t>
      </w:r>
      <w:r>
        <w:rPr>
          <w:rFonts w:hint="eastAsia" w:ascii="楷体" w:hAnsi="楷体" w:eastAsia="楷体" w:cs="楷体"/>
          <w:bCs/>
          <w:color w:val="auto"/>
          <w:sz w:val="24"/>
          <w:szCs w:val="24"/>
          <w:highlight w:val="none"/>
          <w:lang w:eastAsia="zh-CN"/>
        </w:rPr>
        <w:t>提供运输服务</w:t>
      </w:r>
      <w:r>
        <w:rPr>
          <w:rFonts w:hint="eastAsia" w:ascii="楷体" w:hAnsi="楷体" w:eastAsia="楷体" w:cs="楷体"/>
          <w:bCs/>
          <w:color w:val="auto"/>
          <w:sz w:val="24"/>
          <w:szCs w:val="24"/>
          <w:highlight w:val="none"/>
        </w:rPr>
        <w:t>条件，或</w:t>
      </w:r>
      <w:r>
        <w:rPr>
          <w:rFonts w:hint="eastAsia" w:ascii="楷体" w:hAnsi="楷体" w:eastAsia="楷体" w:cs="楷体"/>
          <w:bCs/>
          <w:color w:val="auto"/>
          <w:sz w:val="24"/>
          <w:szCs w:val="24"/>
          <w:highlight w:val="none"/>
          <w:lang w:val="en-US" w:eastAsia="zh-CN"/>
        </w:rPr>
        <w:t>提供服务</w:t>
      </w:r>
      <w:r>
        <w:rPr>
          <w:rFonts w:hint="eastAsia" w:ascii="楷体" w:hAnsi="楷体" w:eastAsia="楷体" w:cs="楷体"/>
          <w:bCs/>
          <w:color w:val="auto"/>
          <w:sz w:val="24"/>
          <w:szCs w:val="24"/>
          <w:highlight w:val="none"/>
        </w:rPr>
        <w:t>不符合</w:t>
      </w:r>
      <w:r>
        <w:rPr>
          <w:rFonts w:hint="eastAsia" w:ascii="楷体" w:hAnsi="楷体" w:eastAsia="楷体" w:cs="楷体"/>
          <w:bCs/>
          <w:color w:val="auto"/>
          <w:sz w:val="24"/>
          <w:szCs w:val="24"/>
          <w:highlight w:val="none"/>
          <w:lang w:val="en-US" w:eastAsia="zh-CN"/>
        </w:rPr>
        <w:t>合同及国家、地区、行业</w:t>
      </w:r>
      <w:r>
        <w:rPr>
          <w:rFonts w:hint="eastAsia" w:ascii="楷体" w:hAnsi="楷体" w:eastAsia="楷体" w:cs="楷体"/>
          <w:bCs/>
          <w:color w:val="auto"/>
          <w:sz w:val="24"/>
          <w:szCs w:val="24"/>
          <w:highlight w:val="none"/>
        </w:rPr>
        <w:t>要求，</w:t>
      </w:r>
      <w:r>
        <w:rPr>
          <w:rFonts w:hint="eastAsia" w:ascii="楷体" w:hAnsi="楷体" w:eastAsia="楷体" w:cs="楷体"/>
          <w:bCs/>
          <w:color w:val="auto"/>
          <w:sz w:val="24"/>
          <w:szCs w:val="24"/>
          <w:highlight w:val="none"/>
          <w:lang w:val="en-US" w:eastAsia="zh-CN"/>
        </w:rPr>
        <w:t>我司</w:t>
      </w:r>
      <w:r>
        <w:rPr>
          <w:rFonts w:hint="eastAsia" w:ascii="楷体" w:hAnsi="楷体" w:eastAsia="楷体" w:cs="楷体"/>
          <w:bCs/>
          <w:color w:val="auto"/>
          <w:sz w:val="24"/>
          <w:szCs w:val="24"/>
          <w:highlight w:val="none"/>
        </w:rPr>
        <w:t>可终止与该</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单位合作。</w:t>
      </w:r>
    </w:p>
    <w:p w14:paraId="60940C0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（四）合同文本采用使用</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单位提供的合同文本。</w:t>
      </w:r>
      <w:r>
        <w:rPr>
          <w:rFonts w:hint="eastAsia" w:ascii="楷体" w:hAnsi="楷体" w:eastAsia="楷体" w:cs="楷体"/>
          <w:bCs/>
          <w:color w:val="auto"/>
          <w:sz w:val="24"/>
          <w:szCs w:val="24"/>
          <w:highlight w:val="none"/>
          <w:lang w:eastAsia="zh-CN"/>
        </w:rPr>
        <w:t>提供运输服务</w:t>
      </w:r>
      <w:r>
        <w:rPr>
          <w:rFonts w:hint="eastAsia" w:ascii="楷体" w:hAnsi="楷体" w:eastAsia="楷体" w:cs="楷体"/>
          <w:bCs/>
          <w:color w:val="auto"/>
          <w:sz w:val="24"/>
          <w:szCs w:val="24"/>
          <w:highlight w:val="none"/>
        </w:rPr>
        <w:t>合同将以此</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文件为基础签订，凡参与</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的单位皆被视为认可文件中出现的所有条款，并被视为</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单位已把文件中出现的所有条款综合考虑在自己的报价中。</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单位在签订合同时无权调整条款，否则被视为</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单位放弃资格，</w:t>
      </w:r>
      <w:r>
        <w:rPr>
          <w:rFonts w:hint="eastAsia" w:ascii="楷体" w:hAnsi="楷体" w:eastAsia="楷体" w:cs="楷体"/>
          <w:bCs/>
          <w:color w:val="auto"/>
          <w:sz w:val="24"/>
          <w:szCs w:val="24"/>
          <w:highlight w:val="none"/>
          <w:lang w:val="en-US" w:eastAsia="zh-CN"/>
        </w:rPr>
        <w:t>我司</w:t>
      </w:r>
      <w:r>
        <w:rPr>
          <w:rFonts w:hint="eastAsia" w:ascii="楷体" w:hAnsi="楷体" w:eastAsia="楷体" w:cs="楷体"/>
          <w:bCs/>
          <w:color w:val="auto"/>
          <w:sz w:val="24"/>
          <w:szCs w:val="24"/>
          <w:highlight w:val="none"/>
        </w:rPr>
        <w:t>与备选单位签订合同。</w:t>
      </w:r>
    </w:p>
    <w:p w14:paraId="1E125AA4">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4" w:name="_Toc343700739"/>
      <w:bookmarkStart w:id="5" w:name="_Toc343692941"/>
      <w:r>
        <w:rPr>
          <w:rFonts w:hint="eastAsia" w:ascii="楷体" w:hAnsi="楷体" w:eastAsia="楷体" w:cs="楷体"/>
          <w:color w:val="auto"/>
          <w:sz w:val="24"/>
          <w:szCs w:val="24"/>
          <w:highlight w:val="none"/>
        </w:rPr>
        <w:t>二、</w:t>
      </w:r>
      <w:bookmarkEnd w:id="4"/>
      <w:bookmarkEnd w:id="5"/>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说明</w:t>
      </w:r>
    </w:p>
    <w:p w14:paraId="58FFE5D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文件</w:t>
      </w:r>
    </w:p>
    <w:p w14:paraId="591F66A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 xml:space="preserve">函 </w:t>
      </w:r>
    </w:p>
    <w:p w14:paraId="28A01DF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 xml:space="preserve">人须知    </w:t>
      </w:r>
    </w:p>
    <w:p w14:paraId="65E0EF2C">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val="0"/>
          <w:color w:val="auto"/>
          <w:kern w:val="2"/>
          <w:sz w:val="24"/>
          <w:szCs w:val="24"/>
          <w:highlight w:val="none"/>
          <w:lang w:val="en-US" w:eastAsia="zh-CN" w:bidi="ar-SA"/>
        </w:rPr>
      </w:pP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val="en-US" w:eastAsia="zh-CN"/>
        </w:rPr>
        <w:t>合同（格式）</w:t>
      </w:r>
      <w:r>
        <w:rPr>
          <w:rFonts w:hint="eastAsia" w:ascii="楷体" w:hAnsi="楷体" w:eastAsia="楷体" w:cs="楷体"/>
          <w:bCs/>
          <w:color w:val="auto"/>
          <w:sz w:val="24"/>
          <w:szCs w:val="24"/>
          <w:highlight w:val="none"/>
        </w:rPr>
        <w:br w:type="textWrapping"/>
      </w:r>
      <w:r>
        <w:rPr>
          <w:rFonts w:hint="eastAsia" w:ascii="楷体" w:hAnsi="楷体" w:eastAsia="楷体" w:cs="楷体"/>
          <w:bCs/>
          <w:color w:val="auto"/>
          <w:sz w:val="24"/>
          <w:szCs w:val="24"/>
          <w:highlight w:val="none"/>
          <w:lang w:val="en-US" w:eastAsia="zh-CN"/>
        </w:rPr>
        <w:t>4、报价文件</w:t>
      </w:r>
    </w:p>
    <w:p w14:paraId="3744AF5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文件具体要求</w:t>
      </w:r>
    </w:p>
    <w:p w14:paraId="608D25D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1、本次</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的内容：</w:t>
      </w:r>
      <w:r>
        <w:rPr>
          <w:rFonts w:hint="eastAsia" w:ascii="楷体" w:hAnsi="楷体" w:eastAsia="楷体" w:cs="楷体"/>
          <w:bCs/>
          <w:color w:val="auto"/>
          <w:sz w:val="24"/>
          <w:szCs w:val="24"/>
          <w:highlight w:val="none"/>
          <w:u w:val="single"/>
        </w:rPr>
        <w:t>详见报价书。</w:t>
      </w:r>
    </w:p>
    <w:p w14:paraId="7B14F5C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2、承包方式：</w:t>
      </w:r>
      <w:r>
        <w:rPr>
          <w:rFonts w:hint="eastAsia" w:ascii="楷体" w:hAnsi="楷体" w:eastAsia="楷体" w:cs="楷体"/>
          <w:bCs/>
          <w:color w:val="auto"/>
          <w:sz w:val="24"/>
          <w:szCs w:val="24"/>
          <w:highlight w:val="none"/>
          <w:lang w:val="en-US" w:eastAsia="zh-CN"/>
        </w:rPr>
        <w:t>运价中已经包含船舶运输中所发生的全部费用，包括围油栏费用等。报价单位不得以任何理由要求中标后加价。</w:t>
      </w:r>
    </w:p>
    <w:p w14:paraId="5FADB29E">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w:t>
      </w:r>
      <w:bookmarkStart w:id="6" w:name="_Toc343692942"/>
      <w:bookmarkStart w:id="7" w:name="_Toc343700740"/>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报价人具有全套船证，包括但不限于：1.所有权证2.国内航行海船安全与环保证书3.国籍证书4.保险单5.船舶营业运输证6.水路运输许可7.最低配员证8.非持久性油类污染损害民事责任保险9.燃油污染损害民事责任保险10.油污损害民事责任保险11.海上船舶检验报告12.安全管理证书</w:t>
      </w:r>
    </w:p>
    <w:p w14:paraId="624F6C83">
      <w:pPr>
        <w:pStyle w:val="38"/>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textAlignment w:val="baseline"/>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kern w:val="2"/>
          <w:sz w:val="24"/>
          <w:szCs w:val="24"/>
          <w:highlight w:val="none"/>
          <w:lang w:val="en-US" w:eastAsia="zh-CN" w:bidi="ar-SA"/>
        </w:rPr>
        <w:t>其他要求：</w:t>
      </w:r>
    </w:p>
    <w:p w14:paraId="083A5B69">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kern w:val="2"/>
          <w:sz w:val="24"/>
          <w:szCs w:val="24"/>
          <w:highlight w:val="none"/>
          <w:lang w:val="en-US" w:eastAsia="zh-CN" w:bidi="ar-SA"/>
        </w:rPr>
        <w:t>货物完卸后，报价单位负责完善货物交接手续，在完卸后一个工作日内把货物交接单回传给采购单位，并将货物交接单与发票一起提供给采购单位，以此作为采购单位付款的依据。否则，采购单位有权拒付运费。</w:t>
      </w:r>
    </w:p>
    <w:p w14:paraId="4B66D723">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bCs/>
          <w:color w:val="auto"/>
          <w:kern w:val="2"/>
          <w:sz w:val="24"/>
          <w:szCs w:val="24"/>
          <w:highlight w:val="none"/>
          <w:lang w:val="en-US" w:eastAsia="zh-Hans" w:bidi="ar-SA"/>
        </w:rPr>
      </w:pPr>
      <w:r>
        <w:rPr>
          <w:rFonts w:hint="eastAsia" w:ascii="楷体" w:hAnsi="楷体" w:eastAsia="楷体" w:cs="楷体"/>
          <w:bCs/>
          <w:color w:val="auto"/>
          <w:kern w:val="2"/>
          <w:sz w:val="24"/>
          <w:szCs w:val="24"/>
          <w:highlight w:val="none"/>
          <w:lang w:val="en-US" w:eastAsia="zh-CN" w:bidi="ar-SA"/>
        </w:rPr>
        <w:t>采购单位交付报价单位承运的货物，报价单位保证货物原装原卸，装货港数量以岸罐数为准；卸货港数量交接以岸罐数为准，货物正常损耗率不超过装货港确定货量的2‰，损耗内按发货港数量结算。因报价单位或其船舶、船长、船员或其他雇用人员的过错，造成超过约定损耗的货物损毁、变质或灭失的，由报价单位承担赔偿责任。货物损失的计算价格以采购单位（托运人）给收货人的贸易价格为准，采购单位可以从运费中相应扣除。扣除运费不足以弥补采购单位损失的，采购单位有权继续予以追偿。</w:t>
      </w:r>
    </w:p>
    <w:p w14:paraId="2E37F3CB">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bCs/>
          <w:color w:val="auto"/>
          <w:kern w:val="2"/>
          <w:sz w:val="24"/>
          <w:szCs w:val="24"/>
          <w:highlight w:val="none"/>
          <w:lang w:val="en-US" w:eastAsia="zh-Hans" w:bidi="ar-SA"/>
        </w:rPr>
      </w:pPr>
      <w:r>
        <w:rPr>
          <w:rFonts w:hint="eastAsia" w:ascii="楷体" w:hAnsi="楷体" w:eastAsia="楷体" w:cs="楷体"/>
          <w:bCs/>
          <w:color w:val="auto"/>
          <w:kern w:val="2"/>
          <w:sz w:val="24"/>
          <w:szCs w:val="24"/>
          <w:highlight w:val="none"/>
          <w:lang w:val="en-US" w:eastAsia="zh-CN" w:bidi="ar-SA"/>
        </w:rPr>
        <w:t>报价单位</w:t>
      </w:r>
      <w:r>
        <w:rPr>
          <w:rFonts w:hint="eastAsia" w:ascii="楷体" w:hAnsi="楷体" w:eastAsia="楷体" w:cs="楷体"/>
          <w:bCs/>
          <w:color w:val="auto"/>
          <w:kern w:val="2"/>
          <w:sz w:val="24"/>
          <w:szCs w:val="24"/>
          <w:highlight w:val="none"/>
          <w:lang w:val="en-US" w:eastAsia="zh-Hans" w:bidi="ar-SA"/>
        </w:rPr>
        <w:t>具有相关货物运输资质，如因</w:t>
      </w:r>
      <w:r>
        <w:rPr>
          <w:rFonts w:hint="eastAsia" w:ascii="楷体" w:hAnsi="楷体" w:eastAsia="楷体" w:cs="楷体"/>
          <w:bCs/>
          <w:color w:val="auto"/>
          <w:kern w:val="2"/>
          <w:sz w:val="24"/>
          <w:szCs w:val="24"/>
          <w:highlight w:val="none"/>
          <w:lang w:val="en-US" w:eastAsia="zh-CN" w:bidi="ar-SA"/>
        </w:rPr>
        <w:t>报价单位</w:t>
      </w:r>
      <w:r>
        <w:rPr>
          <w:rFonts w:hint="eastAsia" w:ascii="楷体" w:hAnsi="楷体" w:eastAsia="楷体" w:cs="楷体"/>
          <w:bCs/>
          <w:color w:val="auto"/>
          <w:kern w:val="2"/>
          <w:sz w:val="24"/>
          <w:szCs w:val="24"/>
          <w:highlight w:val="none"/>
          <w:lang w:val="en-US" w:eastAsia="zh-Hans" w:bidi="ar-SA"/>
        </w:rPr>
        <w:t>无资质运输导致货物</w:t>
      </w:r>
      <w:r>
        <w:rPr>
          <w:rFonts w:hint="eastAsia" w:ascii="楷体" w:hAnsi="楷体" w:eastAsia="楷体" w:cs="楷体"/>
          <w:bCs/>
          <w:color w:val="auto"/>
          <w:kern w:val="2"/>
          <w:sz w:val="24"/>
          <w:szCs w:val="24"/>
          <w:highlight w:val="none"/>
          <w:lang w:val="en-US" w:eastAsia="zh-CN" w:bidi="ar-SA"/>
        </w:rPr>
        <w:t>损失、</w:t>
      </w:r>
      <w:r>
        <w:rPr>
          <w:rFonts w:hint="eastAsia" w:ascii="楷体" w:hAnsi="楷体" w:eastAsia="楷体" w:cs="楷体"/>
          <w:bCs/>
          <w:color w:val="auto"/>
          <w:kern w:val="2"/>
          <w:sz w:val="24"/>
          <w:szCs w:val="24"/>
          <w:highlight w:val="none"/>
          <w:lang w:val="en-US" w:eastAsia="zh-Hans" w:bidi="ar-SA"/>
        </w:rPr>
        <w:t>无法按时在运输期限内运输至指定地点</w:t>
      </w:r>
      <w:r>
        <w:rPr>
          <w:rFonts w:hint="eastAsia" w:ascii="楷体" w:hAnsi="楷体" w:eastAsia="楷体" w:cs="楷体"/>
          <w:bCs/>
          <w:color w:val="auto"/>
          <w:kern w:val="2"/>
          <w:sz w:val="24"/>
          <w:szCs w:val="24"/>
          <w:highlight w:val="none"/>
          <w:lang w:val="en-US" w:eastAsia="zh-CN" w:bidi="ar-SA"/>
        </w:rPr>
        <w:t>等情况</w:t>
      </w:r>
      <w:r>
        <w:rPr>
          <w:rFonts w:hint="eastAsia" w:ascii="楷体" w:hAnsi="楷体" w:eastAsia="楷体" w:cs="楷体"/>
          <w:bCs/>
          <w:color w:val="auto"/>
          <w:kern w:val="2"/>
          <w:sz w:val="24"/>
          <w:szCs w:val="24"/>
          <w:highlight w:val="none"/>
          <w:lang w:val="en-US" w:eastAsia="zh-Hans" w:bidi="ar-SA"/>
        </w:rPr>
        <w:t>，</w:t>
      </w:r>
      <w:r>
        <w:rPr>
          <w:rFonts w:hint="eastAsia" w:ascii="楷体" w:hAnsi="楷体" w:eastAsia="楷体" w:cs="楷体"/>
          <w:bCs/>
          <w:color w:val="auto"/>
          <w:kern w:val="2"/>
          <w:sz w:val="24"/>
          <w:szCs w:val="24"/>
          <w:highlight w:val="none"/>
          <w:lang w:val="en-US" w:eastAsia="zh-CN" w:bidi="ar-SA"/>
        </w:rPr>
        <w:t>报价单位</w:t>
      </w:r>
      <w:r>
        <w:rPr>
          <w:rFonts w:hint="eastAsia" w:ascii="楷体" w:hAnsi="楷体" w:eastAsia="楷体" w:cs="楷体"/>
          <w:bCs/>
          <w:color w:val="auto"/>
          <w:kern w:val="2"/>
          <w:sz w:val="24"/>
          <w:szCs w:val="24"/>
          <w:highlight w:val="none"/>
          <w:lang w:val="en-US" w:eastAsia="zh-Hans" w:bidi="ar-SA"/>
        </w:rPr>
        <w:t>应当赔偿</w:t>
      </w:r>
      <w:r>
        <w:rPr>
          <w:rFonts w:hint="eastAsia" w:ascii="楷体" w:hAnsi="楷体" w:eastAsia="楷体" w:cs="楷体"/>
          <w:bCs/>
          <w:color w:val="auto"/>
          <w:kern w:val="2"/>
          <w:sz w:val="24"/>
          <w:szCs w:val="24"/>
          <w:highlight w:val="none"/>
          <w:lang w:val="en-US" w:eastAsia="zh-CN" w:bidi="ar-SA"/>
        </w:rPr>
        <w:t>采购单位</w:t>
      </w:r>
      <w:r>
        <w:rPr>
          <w:rFonts w:hint="eastAsia" w:ascii="楷体" w:hAnsi="楷体" w:eastAsia="楷体" w:cs="楷体"/>
          <w:bCs/>
          <w:color w:val="auto"/>
          <w:kern w:val="2"/>
          <w:sz w:val="24"/>
          <w:szCs w:val="24"/>
          <w:highlight w:val="none"/>
          <w:lang w:val="en-US" w:eastAsia="zh-Hans" w:bidi="ar-SA"/>
        </w:rPr>
        <w:t>所有</w:t>
      </w:r>
      <w:r>
        <w:rPr>
          <w:rFonts w:hint="eastAsia" w:ascii="楷体" w:hAnsi="楷体" w:eastAsia="楷体" w:cs="楷体"/>
          <w:bCs/>
          <w:color w:val="auto"/>
          <w:kern w:val="2"/>
          <w:sz w:val="24"/>
          <w:szCs w:val="24"/>
          <w:highlight w:val="none"/>
          <w:lang w:val="en-US" w:eastAsia="zh-CN" w:bidi="ar-SA"/>
        </w:rPr>
        <w:t>因此造成的</w:t>
      </w:r>
      <w:r>
        <w:rPr>
          <w:rFonts w:hint="eastAsia" w:ascii="楷体" w:hAnsi="楷体" w:eastAsia="楷体" w:cs="楷体"/>
          <w:bCs/>
          <w:color w:val="auto"/>
          <w:kern w:val="2"/>
          <w:sz w:val="24"/>
          <w:szCs w:val="24"/>
          <w:highlight w:val="none"/>
          <w:lang w:val="en-US" w:eastAsia="zh-Hans" w:bidi="ar-SA"/>
        </w:rPr>
        <w:t>损失。</w:t>
      </w:r>
    </w:p>
    <w:p w14:paraId="4D905897">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kern w:val="2"/>
          <w:sz w:val="24"/>
          <w:szCs w:val="24"/>
          <w:highlight w:val="none"/>
          <w:lang w:val="en-US" w:eastAsia="zh-CN" w:bidi="ar-SA"/>
        </w:rPr>
        <w:t>报价单位承诺在货物运输过程中严格遵守国家和地方的交通法规和相关法律法规以及规章制度，并对货物运输过程中可能发生的风险承担全部责任。</w:t>
      </w:r>
    </w:p>
    <w:p w14:paraId="687B045B">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kern w:val="2"/>
          <w:sz w:val="24"/>
          <w:szCs w:val="24"/>
          <w:highlight w:val="none"/>
          <w:lang w:val="en-US" w:eastAsia="zh-CN" w:bidi="ar-SA"/>
        </w:rPr>
        <w:t>报价单位提供运输服务过程中，因报价单位原因造成的相关人员伤亡及财产损失，全部由报价单位承担。</w:t>
      </w:r>
    </w:p>
    <w:p w14:paraId="07428E59">
      <w:pPr>
        <w:pStyle w:val="3"/>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（6）其他详见合同约定。</w:t>
      </w:r>
    </w:p>
    <w:p w14:paraId="63AF749F">
      <w:pPr>
        <w:keepNext w:val="0"/>
        <w:keepLines w:val="0"/>
        <w:pageBreakBefore w:val="0"/>
        <w:wordWrap/>
        <w:overflowPunct/>
        <w:topLinePunct w:val="0"/>
        <w:bidi w:val="0"/>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服务要求</w:t>
      </w:r>
      <w:r>
        <w:rPr>
          <w:rFonts w:hint="eastAsia" w:ascii="楷体" w:hAnsi="楷体" w:eastAsia="楷体" w:cs="楷体"/>
          <w:bCs/>
          <w:color w:val="auto"/>
          <w:sz w:val="24"/>
          <w:szCs w:val="24"/>
          <w:highlight w:val="none"/>
        </w:rPr>
        <w:t>：</w:t>
      </w: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采购单位提前1天通知报价单位，明确送货到达时间及收货地点。报价单位提供全天24小时物流运输服务。报价单位须在约定的期限内，将货物运到采购单位指定的港口，交给采购单位指定的收货人。</w:t>
      </w:r>
    </w:p>
    <w:p w14:paraId="362AC8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合同文本：</w:t>
      </w:r>
      <w:r>
        <w:rPr>
          <w:rFonts w:hint="eastAsia" w:ascii="楷体" w:hAnsi="楷体" w:eastAsia="楷体" w:cs="楷体"/>
          <w:bCs/>
          <w:color w:val="auto"/>
          <w:sz w:val="24"/>
          <w:szCs w:val="24"/>
          <w:highlight w:val="none"/>
          <w:lang w:val="en-US" w:eastAsia="zh-CN"/>
        </w:rPr>
        <w:t>服务</w:t>
      </w:r>
      <w:r>
        <w:rPr>
          <w:rFonts w:hint="eastAsia" w:ascii="楷体" w:hAnsi="楷体" w:eastAsia="楷体" w:cs="楷体"/>
          <w:bCs/>
          <w:color w:val="auto"/>
          <w:sz w:val="24"/>
          <w:szCs w:val="24"/>
          <w:highlight w:val="none"/>
        </w:rPr>
        <w:t>合同将以此</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文件为基础签订，凡参与的</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单位皆被视为认可</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文件中出现的所有条款，并被视为</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单位已把</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文件中出现的所有条款综合考虑在自己的报价中。</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单位在签订合同时无权调整条款，否则被视为</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单位放弃</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资格，</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单位与备选</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单位签订合同。</w:t>
      </w:r>
    </w:p>
    <w:p w14:paraId="4E4AB4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6</w:t>
      </w:r>
      <w:r>
        <w:rPr>
          <w:rFonts w:hint="eastAsia" w:ascii="楷体" w:hAnsi="楷体" w:eastAsia="楷体" w:cs="楷体"/>
          <w:bCs/>
          <w:color w:val="auto"/>
          <w:sz w:val="24"/>
          <w:szCs w:val="24"/>
          <w:highlight w:val="none"/>
        </w:rPr>
        <w:t>、对未</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的单位不做经济方面或其他方面的赔偿，也不做解释，谨对合作表示衷心的感谢。</w:t>
      </w:r>
    </w:p>
    <w:p w14:paraId="06A619B0">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三、</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书的编制和递交</w:t>
      </w:r>
      <w:bookmarkEnd w:id="6"/>
      <w:bookmarkEnd w:id="7"/>
    </w:p>
    <w:p w14:paraId="7AB1914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（一）材料构成：</w:t>
      </w:r>
      <w:r>
        <w:rPr>
          <w:rFonts w:hint="eastAsia" w:ascii="楷体" w:hAnsi="楷体" w:eastAsia="楷体" w:cs="楷体"/>
          <w:bCs/>
          <w:color w:val="auto"/>
          <w:sz w:val="24"/>
          <w:szCs w:val="24"/>
          <w:highlight w:val="none"/>
          <w:lang w:val="en-US" w:eastAsia="zh-CN"/>
        </w:rPr>
        <w:t>按照第四章报价书（格式）要求提供，内容包括</w:t>
      </w:r>
      <w:r>
        <w:rPr>
          <w:rFonts w:hint="eastAsia" w:ascii="楷体" w:hAnsi="楷体" w:eastAsia="楷体" w:cs="楷体"/>
          <w:bCs/>
          <w:color w:val="auto"/>
          <w:sz w:val="24"/>
          <w:szCs w:val="24"/>
          <w:highlight w:val="none"/>
        </w:rPr>
        <w:t>：</w:t>
      </w:r>
    </w:p>
    <w:p w14:paraId="20A1BD7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报价表</w:t>
      </w:r>
    </w:p>
    <w:p w14:paraId="1AD47A4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2、报价承诺函</w:t>
      </w:r>
    </w:p>
    <w:p w14:paraId="769FECED">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3、船证（详见报价文件具体要求）</w:t>
      </w:r>
    </w:p>
    <w:p w14:paraId="4193ACF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Cs/>
          <w:color w:val="auto"/>
          <w:sz w:val="24"/>
          <w:szCs w:val="24"/>
          <w:highlight w:val="none"/>
          <w:lang w:val="en-US" w:eastAsia="zh-CN"/>
        </w:rPr>
        <w:t>4、无重大违法记录声明</w:t>
      </w:r>
      <w:r>
        <w:rPr>
          <w:rFonts w:hint="eastAsia" w:ascii="楷体" w:hAnsi="楷体" w:eastAsia="楷体" w:cs="楷体"/>
          <w:b w:val="0"/>
          <w:bCs/>
          <w:color w:val="auto"/>
          <w:kern w:val="2"/>
          <w:sz w:val="24"/>
          <w:szCs w:val="24"/>
          <w:highlight w:val="none"/>
          <w:lang w:val="en-US" w:eastAsia="zh-CN" w:bidi="ar-SA"/>
        </w:rPr>
        <w:t>函</w:t>
      </w:r>
    </w:p>
    <w:p w14:paraId="682B3ED8">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6、其他文件</w:t>
      </w:r>
    </w:p>
    <w:p w14:paraId="35894EC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（二）填写要求:</w:t>
      </w:r>
      <w:r>
        <w:rPr>
          <w:rFonts w:hint="eastAsia" w:ascii="楷体" w:hAnsi="楷体" w:eastAsia="楷体" w:cs="楷体"/>
          <w:bCs/>
          <w:color w:val="auto"/>
          <w:sz w:val="24"/>
          <w:szCs w:val="24"/>
          <w:highlight w:val="none"/>
          <w:lang w:val="en-US" w:eastAsia="zh-CN"/>
        </w:rPr>
        <w:t>按照报价书格式要求签字、盖章。报价</w:t>
      </w:r>
      <w:r>
        <w:rPr>
          <w:rFonts w:hint="eastAsia" w:ascii="楷体" w:hAnsi="楷体" w:eastAsia="楷体" w:cs="楷体"/>
          <w:bCs/>
          <w:color w:val="auto"/>
          <w:sz w:val="24"/>
          <w:szCs w:val="24"/>
          <w:highlight w:val="none"/>
        </w:rPr>
        <w:t>书中的企业的名称应准确无误。</w:t>
      </w:r>
    </w:p>
    <w:p w14:paraId="563BAF9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（三）材料递交时间和地点按</w:t>
      </w:r>
      <w:r>
        <w:rPr>
          <w:rFonts w:hint="eastAsia" w:ascii="楷体" w:hAnsi="楷体" w:eastAsia="楷体" w:cs="楷体"/>
          <w:bCs/>
          <w:color w:val="auto"/>
          <w:sz w:val="24"/>
          <w:szCs w:val="24"/>
          <w:highlight w:val="none"/>
          <w:lang w:val="en-US" w:eastAsia="zh-CN"/>
        </w:rPr>
        <w:t>海南洋浦陆海能源发展有限公司</w:t>
      </w:r>
      <w:r>
        <w:rPr>
          <w:rFonts w:hint="eastAsia" w:ascii="楷体" w:hAnsi="楷体" w:eastAsia="楷体" w:cs="楷体"/>
          <w:bCs/>
          <w:color w:val="auto"/>
          <w:sz w:val="24"/>
          <w:szCs w:val="24"/>
          <w:highlight w:val="none"/>
        </w:rPr>
        <w:t>要求执行，因不可抗力原因，可酌情延长材料递交截止时间。</w:t>
      </w:r>
    </w:p>
    <w:p w14:paraId="0100E1E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三</w:t>
      </w:r>
      <w:r>
        <w:rPr>
          <w:rFonts w:hint="eastAsia" w:ascii="楷体" w:hAnsi="楷体" w:eastAsia="楷体" w:cs="楷体"/>
          <w:bCs/>
          <w:color w:val="auto"/>
          <w:sz w:val="24"/>
          <w:szCs w:val="24"/>
          <w:highlight w:val="none"/>
        </w:rPr>
        <w:t>）材料其它要求</w:t>
      </w:r>
    </w:p>
    <w:p w14:paraId="5268B09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1、提供的资料必须真实、完整、合法。</w:t>
      </w:r>
    </w:p>
    <w:p w14:paraId="5B35668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投标时无需提供授权书，中标后需提供厂家授权书</w:t>
      </w:r>
      <w:r>
        <w:rPr>
          <w:rFonts w:hint="eastAsia" w:ascii="楷体" w:hAnsi="楷体" w:eastAsia="楷体" w:cs="楷体"/>
          <w:bCs/>
          <w:color w:val="auto"/>
          <w:sz w:val="24"/>
          <w:szCs w:val="24"/>
          <w:highlight w:val="none"/>
        </w:rPr>
        <w:t>。</w:t>
      </w:r>
    </w:p>
    <w:p w14:paraId="404CE7E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、提供虚假资质证明文件的，一经发现立即取消其资格，并交由相关部门依法处理。</w:t>
      </w:r>
    </w:p>
    <w:p w14:paraId="27936D44">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8" w:name="_Toc343700741"/>
      <w:bookmarkStart w:id="9" w:name="_Toc343692943"/>
      <w:r>
        <w:rPr>
          <w:rFonts w:hint="eastAsia" w:ascii="楷体" w:hAnsi="楷体" w:eastAsia="楷体" w:cs="楷体"/>
          <w:color w:val="auto"/>
          <w:sz w:val="24"/>
          <w:szCs w:val="24"/>
          <w:highlight w:val="none"/>
        </w:rPr>
        <w:t>四、报价</w:t>
      </w:r>
      <w:bookmarkEnd w:id="8"/>
      <w:bookmarkEnd w:id="9"/>
    </w:p>
    <w:p w14:paraId="2B9E472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（一）报价使用货币为人民币，报价保留到小数点后两位。</w:t>
      </w:r>
    </w:p>
    <w:p w14:paraId="3D490CA0">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二</w:t>
      </w:r>
      <w:r>
        <w:rPr>
          <w:rFonts w:hint="eastAsia" w:ascii="楷体" w:hAnsi="楷体" w:eastAsia="楷体" w:cs="楷体"/>
          <w:bCs/>
          <w:color w:val="auto"/>
          <w:sz w:val="24"/>
          <w:szCs w:val="24"/>
          <w:highlight w:val="none"/>
        </w:rPr>
        <w:t>）报价是指</w:t>
      </w:r>
      <w:r>
        <w:rPr>
          <w:rFonts w:hint="eastAsia" w:ascii="楷体" w:hAnsi="楷体" w:eastAsia="楷体" w:cs="楷体"/>
          <w:bCs/>
          <w:color w:val="auto"/>
          <w:sz w:val="24"/>
          <w:szCs w:val="24"/>
          <w:highlight w:val="none"/>
          <w:lang w:eastAsia="zh-CN"/>
        </w:rPr>
        <w:t>提供运输服务</w:t>
      </w:r>
      <w:r>
        <w:rPr>
          <w:rFonts w:hint="eastAsia" w:ascii="楷体" w:hAnsi="楷体" w:eastAsia="楷体" w:cs="楷体"/>
          <w:bCs/>
          <w:color w:val="auto"/>
          <w:sz w:val="24"/>
          <w:szCs w:val="24"/>
          <w:highlight w:val="none"/>
        </w:rPr>
        <w:t>商供应的落地价。</w:t>
      </w:r>
    </w:p>
    <w:p w14:paraId="33E07D09">
      <w:pPr>
        <w:pStyle w:val="28"/>
        <w:numPr>
          <w:ilvl w:val="0"/>
          <w:numId w:val="0"/>
        </w:numPr>
        <w:spacing w:line="360" w:lineRule="auto"/>
        <w:jc w:val="both"/>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三</w:t>
      </w:r>
      <w:r>
        <w:rPr>
          <w:rFonts w:hint="eastAsia" w:ascii="楷体" w:hAnsi="楷体" w:eastAsia="楷体" w:cs="楷体"/>
          <w:bCs/>
          <w:color w:val="auto"/>
          <w:sz w:val="24"/>
          <w:szCs w:val="24"/>
          <w:highlight w:val="none"/>
        </w:rPr>
        <w:t>）报价截至时间：以《</w:t>
      </w:r>
      <w:r>
        <w:rPr>
          <w:rFonts w:hint="eastAsia" w:ascii="楷体" w:hAnsi="楷体" w:eastAsia="楷体" w:cs="楷体"/>
          <w:bCs/>
          <w:color w:val="auto"/>
          <w:sz w:val="24"/>
          <w:szCs w:val="24"/>
          <w:highlight w:val="none"/>
          <w:lang w:val="en-US" w:eastAsia="zh-CN"/>
        </w:rPr>
        <w:t>公开询价报价函</w:t>
      </w:r>
      <w:r>
        <w:rPr>
          <w:rFonts w:hint="eastAsia" w:ascii="楷体" w:hAnsi="楷体" w:eastAsia="楷体" w:cs="楷体"/>
          <w:bCs/>
          <w:color w:val="auto"/>
          <w:sz w:val="24"/>
          <w:szCs w:val="24"/>
          <w:highlight w:val="none"/>
        </w:rPr>
        <w:t>》</w:t>
      </w:r>
      <w:r>
        <w:rPr>
          <w:rFonts w:hint="eastAsia" w:ascii="楷体" w:hAnsi="楷体" w:eastAsia="楷体" w:cs="楷体"/>
          <w:color w:val="auto"/>
          <w:sz w:val="24"/>
          <w:szCs w:val="24"/>
          <w:highlight w:val="none"/>
        </w:rPr>
        <w:t>公布的时间为准。</w:t>
      </w:r>
    </w:p>
    <w:p w14:paraId="7BB8958D">
      <w:pPr>
        <w:pStyle w:val="28"/>
        <w:numPr>
          <w:ilvl w:val="0"/>
          <w:numId w:val="0"/>
        </w:numPr>
        <w:spacing w:line="360" w:lineRule="auto"/>
        <w:jc w:val="both"/>
        <w:rPr>
          <w:rFonts w:hint="eastAsia" w:ascii="楷体" w:hAnsi="楷体" w:eastAsia="楷体" w:cs="楷体"/>
          <w:color w:val="auto"/>
          <w:sz w:val="24"/>
          <w:szCs w:val="24"/>
          <w:highlight w:val="none"/>
        </w:rPr>
        <w:sectPr>
          <w:pgSz w:w="11906" w:h="16838"/>
          <w:pgMar w:top="1440" w:right="1800" w:bottom="1247" w:left="1800" w:header="851" w:footer="992" w:gutter="0"/>
          <w:cols w:space="0" w:num="1"/>
          <w:docGrid w:type="lines" w:linePitch="312" w:charSpace="0"/>
        </w:sectPr>
      </w:pPr>
      <w:r>
        <w:rPr>
          <w:rFonts w:hint="eastAsia" w:ascii="楷体" w:hAnsi="楷体" w:eastAsia="楷体" w:cs="楷体"/>
          <w:color w:val="auto"/>
          <w:sz w:val="24"/>
          <w:szCs w:val="24"/>
          <w:highlight w:val="none"/>
        </w:rPr>
        <w:br w:type="textWrapping"/>
      </w:r>
    </w:p>
    <w:p w14:paraId="542548E8">
      <w:pPr>
        <w:jc w:val="cente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t>第三章 合同（格式）</w:t>
      </w:r>
    </w:p>
    <w:p w14:paraId="4CC4927F">
      <w:pPr>
        <w:jc w:val="cente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pPr>
    </w:p>
    <w:p w14:paraId="3F3402A7">
      <w:pPr>
        <w:jc w:val="cente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pPr>
    </w:p>
    <w:p w14:paraId="20241D1C">
      <w:pPr>
        <w:jc w:val="center"/>
        <w:rPr>
          <w:rFonts w:hint="eastAsia" w:ascii="仿宋_GB2312" w:hAnsi="仿宋_GB2312" w:eastAsia="仿宋_GB2312" w:cs="仿宋_GB2312"/>
          <w:color w:val="auto"/>
          <w:sz w:val="44"/>
          <w:szCs w:val="44"/>
        </w:rPr>
      </w:pPr>
      <w:r>
        <w:rPr>
          <w:rFonts w:hint="eastAsia" w:ascii="仿宋_GB2312" w:hAnsi="仿宋_GB2312" w:eastAsia="仿宋_GB2312" w:cs="仿宋_GB2312"/>
          <w:b/>
          <w:bCs/>
          <w:color w:val="auto"/>
          <w:sz w:val="44"/>
          <w:szCs w:val="44"/>
        </w:rPr>
        <w:t>船舶运输年度合同</w:t>
      </w:r>
    </w:p>
    <w:p w14:paraId="7A7EC51D">
      <w:pPr>
        <w:jc w:val="right"/>
        <w:rPr>
          <w:rFonts w:hint="eastAsia" w:ascii="仿宋_GB2312" w:hAnsi="仿宋_GB2312" w:eastAsia="仿宋_GB2312" w:cs="仿宋_GB2312"/>
          <w:color w:val="auto"/>
          <w:sz w:val="24"/>
          <w:szCs w:val="24"/>
        </w:rPr>
      </w:pPr>
    </w:p>
    <w:p w14:paraId="28E250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合同编号：</w:t>
      </w:r>
    </w:p>
    <w:p w14:paraId="31A7212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250" w:firstLineChars="2500"/>
        <w:jc w:val="both"/>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签订地点：</w:t>
      </w:r>
      <w:r>
        <w:rPr>
          <w:rFonts w:hint="eastAsia" w:ascii="仿宋_GB2312" w:hAnsi="仿宋_GB2312" w:eastAsia="仿宋_GB2312" w:cs="仿宋_GB2312"/>
          <w:color w:val="auto"/>
          <w:sz w:val="21"/>
          <w:szCs w:val="21"/>
          <w:lang w:val="en-US" w:eastAsia="zh-CN"/>
        </w:rPr>
        <w:t>海南洋浦</w:t>
      </w:r>
    </w:p>
    <w:p w14:paraId="0072CC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托运方</w:t>
      </w:r>
      <w:r>
        <w:rPr>
          <w:rFonts w:hint="eastAsia" w:ascii="仿宋_GB2312" w:hAnsi="仿宋_GB2312" w:eastAsia="仿宋_GB2312" w:cs="仿宋_GB2312"/>
          <w:color w:val="auto"/>
          <w:sz w:val="24"/>
          <w:szCs w:val="24"/>
        </w:rPr>
        <w:t>：海南洋浦陆海能源发展有限公司</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以下称</w:t>
      </w:r>
      <w:r>
        <w:rPr>
          <w:rFonts w:hint="eastAsia" w:ascii="仿宋_GB2312" w:hAnsi="仿宋_GB2312" w:eastAsia="仿宋_GB2312" w:cs="仿宋_GB2312"/>
          <w:color w:val="auto"/>
          <w:sz w:val="24"/>
          <w:szCs w:val="24"/>
          <w:lang w:val="en-US" w:eastAsia="zh-CN"/>
        </w:rPr>
        <w:t>甲</w:t>
      </w:r>
      <w:r>
        <w:rPr>
          <w:rFonts w:hint="eastAsia" w:ascii="仿宋_GB2312" w:hAnsi="仿宋_GB2312" w:eastAsia="仿宋_GB2312" w:cs="仿宋_GB2312"/>
          <w:color w:val="auto"/>
          <w:sz w:val="24"/>
          <w:szCs w:val="24"/>
        </w:rPr>
        <w:t>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 xml:space="preserve">           </w:t>
      </w:r>
    </w:p>
    <w:p w14:paraId="6A5BD15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承运方</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以下称</w:t>
      </w:r>
      <w:r>
        <w:rPr>
          <w:rFonts w:hint="eastAsia" w:ascii="仿宋_GB2312" w:hAnsi="仿宋_GB2312" w:eastAsia="仿宋_GB2312" w:cs="仿宋_GB2312"/>
          <w:color w:val="auto"/>
          <w:sz w:val="24"/>
          <w:szCs w:val="24"/>
          <w:lang w:val="en-US" w:eastAsia="zh-CN"/>
        </w:rPr>
        <w:t>乙</w:t>
      </w:r>
      <w:r>
        <w:rPr>
          <w:rFonts w:hint="eastAsia" w:ascii="仿宋_GB2312" w:hAnsi="仿宋_GB2312" w:eastAsia="仿宋_GB2312" w:cs="仿宋_GB2312"/>
          <w:color w:val="auto"/>
          <w:sz w:val="24"/>
          <w:szCs w:val="24"/>
        </w:rPr>
        <w:t>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 xml:space="preserve">         </w:t>
      </w:r>
    </w:p>
    <w:p w14:paraId="56A358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双方通过友好协商，确立合作关系，就货物运输事宜协商一致，达成以下协议：</w:t>
      </w:r>
    </w:p>
    <w:p w14:paraId="31087A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一、包运说明及双方的责任与义务</w:t>
      </w:r>
    </w:p>
    <w:p w14:paraId="29F859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合同双方就货物运输事宜达成</w:t>
      </w:r>
      <w:r>
        <w:rPr>
          <w:rFonts w:hint="eastAsia" w:ascii="仿宋_GB2312" w:hAnsi="仿宋_GB2312" w:eastAsia="仿宋_GB2312" w:cs="仿宋_GB2312"/>
          <w:color w:val="auto"/>
          <w:sz w:val="24"/>
          <w:szCs w:val="24"/>
          <w:lang w:val="en-US" w:eastAsia="zh-CN"/>
        </w:rPr>
        <w:t>以下协议</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提供货物运输任务</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负责提供适航、适装、适货的运力或一站式运输任务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汽运集港和船舶运输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确保按时按量、安全地完成</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交付的运输任务。</w:t>
      </w:r>
    </w:p>
    <w:p w14:paraId="09CACE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的责任与义务：</w:t>
      </w:r>
    </w:p>
    <w:p w14:paraId="588B77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保证货物贸易的合法，因涉嫌违法行为而造成</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船舶的任何</w:t>
      </w:r>
      <w:r>
        <w:rPr>
          <w:rFonts w:hint="eastAsia" w:ascii="仿宋_GB2312" w:hAnsi="仿宋_GB2312" w:eastAsia="仿宋_GB2312" w:cs="仿宋_GB2312"/>
          <w:color w:val="auto"/>
          <w:sz w:val="24"/>
          <w:szCs w:val="24"/>
          <w:lang w:eastAsia="zh-CN"/>
        </w:rPr>
        <w:t>滞留</w:t>
      </w:r>
      <w:r>
        <w:rPr>
          <w:rFonts w:hint="eastAsia" w:ascii="仿宋_GB2312" w:hAnsi="仿宋_GB2312" w:eastAsia="仿宋_GB2312" w:cs="仿宋_GB2312"/>
          <w:color w:val="auto"/>
          <w:sz w:val="24"/>
          <w:szCs w:val="24"/>
        </w:rPr>
        <w:t>，损失或人员伤害，由</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承担相关责任并赔偿</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的相关经济损失</w:t>
      </w:r>
      <w:r>
        <w:rPr>
          <w:rFonts w:hint="eastAsia" w:ascii="仿宋_GB2312" w:hAnsi="仿宋_GB2312" w:eastAsia="仿宋_GB2312" w:cs="仿宋_GB2312"/>
          <w:color w:val="auto"/>
          <w:sz w:val="24"/>
          <w:szCs w:val="24"/>
          <w:lang w:eastAsia="zh-CN"/>
        </w:rPr>
        <w:t>；</w:t>
      </w:r>
    </w:p>
    <w:p w14:paraId="6E3E0B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将航次运输计划提前通知</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，如计划执行中临时改变，</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有义务第一时间将变更信息通知</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并且承担航行改变所产生的相应运费、滞期费、放空费用；</w:t>
      </w:r>
    </w:p>
    <w:p w14:paraId="68D834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负责协调发货人及时备妥待装货物，协调收货人及时收货；</w:t>
      </w:r>
    </w:p>
    <w:p w14:paraId="44F243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有义务协助</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协调装卸港的靠泊事宜及港口报关手续的办理事宜</w:t>
      </w:r>
      <w:r>
        <w:rPr>
          <w:rFonts w:hint="eastAsia" w:ascii="仿宋_GB2312" w:hAnsi="仿宋_GB2312" w:eastAsia="仿宋_GB2312" w:cs="仿宋_GB2312"/>
          <w:color w:val="auto"/>
          <w:sz w:val="24"/>
          <w:szCs w:val="24"/>
          <w:lang w:eastAsia="zh-CN"/>
        </w:rPr>
        <w:t>；</w:t>
      </w:r>
    </w:p>
    <w:p w14:paraId="0E86E6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应承担因码头、油库装卸原因二次、三次靠泊产生的费用，比如：港使费、拖轮费用等。</w:t>
      </w:r>
    </w:p>
    <w:p w14:paraId="6BD53C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的责任与义务</w:t>
      </w:r>
      <w:r>
        <w:rPr>
          <w:rFonts w:hint="eastAsia" w:ascii="仿宋_GB2312" w:hAnsi="仿宋_GB2312" w:eastAsia="仿宋_GB2312" w:cs="仿宋_GB2312"/>
          <w:color w:val="auto"/>
          <w:sz w:val="24"/>
          <w:szCs w:val="24"/>
          <w:lang w:eastAsia="zh-CN"/>
        </w:rPr>
        <w:t>：</w:t>
      </w:r>
    </w:p>
    <w:p w14:paraId="7269BC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必须保证双方约定船舶适航，符合海事部门以及收发货人的运输要求；</w:t>
      </w:r>
    </w:p>
    <w:p w14:paraId="196638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对于每航次运输任务，航次运输任务一旦确认，</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应安排船舶必须在双方约定的受载期内及时到达装货港并做好装货准备。为了更有效地安排装货，</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有义务将船舶的动态告知</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，每天更新一次。在船舶自身适航适装的前提下，</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不得临时调整已确定的运输航次，若要调整，应取得</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同意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 xml:space="preserve">                                       </w:t>
      </w:r>
    </w:p>
    <w:p w14:paraId="7B6798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应安排专人负责船舶周转事宜，协调港航、海事、商检等机构，确保运输事宜顺利进行，加快船舶周转。</w:t>
      </w:r>
    </w:p>
    <w:p w14:paraId="7B2ED4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二、货物</w:t>
      </w:r>
    </w:p>
    <w:p w14:paraId="07EFF3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确保货源及货物有关手续的合理合法性；</w:t>
      </w:r>
    </w:p>
    <w:p w14:paraId="019857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2、货物质量以发货人提供的有效质量证书或双方认可的代表确认封存的油样为准；</w:t>
      </w:r>
    </w:p>
    <w:p w14:paraId="64C0B2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3、本合同项下运输货物种类，具体运输航次中的货物品名，以双方签署的《运输确认单》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见附件一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记录为准。</w:t>
      </w:r>
    </w:p>
    <w:p w14:paraId="53F3B96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三、船舶</w:t>
      </w:r>
    </w:p>
    <w:p w14:paraId="5AE9A8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保证</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船舶在本合同有效期内必须不间断满足</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对船舶的经营人和船舶准入的相关要求。如果</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船舶出现任何不符合相关要求的情况，</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应及时通知</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w:t>
      </w:r>
    </w:p>
    <w:p w14:paraId="0634E7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2、如果</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申请</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公司外船舶运输时，经</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审核通过后，可以承接运输任务；</w:t>
      </w:r>
    </w:p>
    <w:p w14:paraId="6459F3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3、如果航次过驳装货或卸货，</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应保证船舶设备和船员符合过驳装货或卸货的相关要求，</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负责安排海事部门认可的过驳锚地装、卸货锚地，装、卸货设备，驳船等，并负担由此而产生的费用。</w:t>
      </w:r>
    </w:p>
    <w:p w14:paraId="3D45A7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四、航线</w:t>
      </w:r>
    </w:p>
    <w:p w14:paraId="66B1CD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运输航线以双方在运输确认单中记录为准；</w:t>
      </w:r>
    </w:p>
    <w:p w14:paraId="66FCF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运输船舶在执行运输任务时应按规定航线航行，不得随意绕航，若因特殊原因改变航线，应以书面形式提前24小时通知</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并得到认可。如因气象原因绕航</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可以不通知</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，但是事后</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如有异议</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应提供相关书面依据、气象资料。</w:t>
      </w:r>
    </w:p>
    <w:p w14:paraId="65FF29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五、航次确认及结算事宜</w:t>
      </w:r>
    </w:p>
    <w:p w14:paraId="68F013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1、在航次开始前，</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和</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商定航次运输任务，并签署《运输确认单》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格式见附件一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以明确装卸港口、运费、受载期、数量、船舶、交接方式等信息。</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在航次开始前向</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下达《运输确认单》；</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收到《运输确认单》后须加盖公章予以确认，签章须与预留印鉴保持一致。《运输确认单》签署后，</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应在5个工作日内将所签署确认的原件寄回</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w:t>
      </w:r>
    </w:p>
    <w:p w14:paraId="240A70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2、经双方协商同意，</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有权根据具体情况更改装卸港，更改后的运费按实际执行航线的运费结算运费；</w:t>
      </w:r>
    </w:p>
    <w:p w14:paraId="257506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运价以附件二定价表为准，承运路线在定价表中没有明确的，须签订补充协议对新运输航线价格进行补充；该定价表中价格为年度均价。根据市场行情变化情况，经双方协商认可后，以季度为节点进行价格上下浮动调整，浮动范围控制在年度均价20%以内。</w:t>
      </w:r>
    </w:p>
    <w:p w14:paraId="591B0B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4、双方签署的《运输确认单》作为双方结算依据；</w:t>
      </w:r>
    </w:p>
    <w:p w14:paraId="59B76A6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须在每次运输完成后与</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核对该航次结算金额并提供增值税专用发票。双方约定每月20日为运费结算期，</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于20日前将本月已经执行完</w:t>
      </w:r>
      <w:r>
        <w:rPr>
          <w:rFonts w:hint="eastAsia" w:ascii="仿宋_GB2312" w:hAnsi="仿宋_GB2312" w:eastAsia="仿宋_GB2312" w:cs="仿宋_GB2312"/>
          <w:color w:val="auto"/>
          <w:sz w:val="24"/>
          <w:szCs w:val="24"/>
          <w:lang w:val="en-US" w:eastAsia="zh-CN"/>
        </w:rPr>
        <w:t>毕</w:t>
      </w:r>
      <w:r>
        <w:rPr>
          <w:rFonts w:hint="eastAsia" w:ascii="仿宋_GB2312" w:hAnsi="仿宋_GB2312" w:eastAsia="仿宋_GB2312" w:cs="仿宋_GB2312"/>
          <w:color w:val="auto"/>
          <w:sz w:val="24"/>
          <w:szCs w:val="24"/>
        </w:rPr>
        <w:t>的运输计划对账并开具合法有效的增值税专用发票（税率9%）给</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在收到发票后一个月内将运费汇入对方指定的账户。</w:t>
      </w:r>
    </w:p>
    <w:p w14:paraId="740256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六、税收和应征费用</w:t>
      </w:r>
    </w:p>
    <w:p w14:paraId="0F50B5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任何有关货物的税收和/或应征费用，由</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承担，并由</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直接付清。任何有关船舶的税收和/或应征费用，由</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承担，并由</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直接付清。</w:t>
      </w:r>
    </w:p>
    <w:p w14:paraId="600674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乙方在提供货物运输任务中，可先代付码头作业费、港杂费等费用，该费用和航次运费同时结算，乙方保存和提供代付费用相关单据，双方核对无误后进行支付。</w:t>
      </w:r>
    </w:p>
    <w:p w14:paraId="46B087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七、货物交接及合理损耗率</w:t>
      </w:r>
    </w:p>
    <w:p w14:paraId="2BF952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1、船运：装卸岸罐-岸罐千分之</w:t>
      </w:r>
      <w:r>
        <w:rPr>
          <w:rFonts w:hint="eastAsia" w:ascii="仿宋_GB2312" w:hAnsi="仿宋_GB2312" w:eastAsia="仿宋_GB2312" w:cs="仿宋_GB2312"/>
          <w:color w:val="auto"/>
          <w:sz w:val="24"/>
          <w:szCs w:val="24"/>
          <w:lang w:val="en-US" w:eastAsia="zh-CN"/>
        </w:rPr>
        <w:t>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岸罐-船板千分之</w:t>
      </w:r>
      <w:r>
        <w:rPr>
          <w:rFonts w:hint="eastAsia" w:ascii="仿宋_GB2312" w:hAnsi="仿宋_GB2312" w:eastAsia="仿宋_GB2312" w:cs="仿宋_GB2312"/>
          <w:color w:val="auto"/>
          <w:sz w:val="24"/>
          <w:szCs w:val="24"/>
          <w:lang w:val="en-US" w:eastAsia="zh-CN"/>
        </w:rPr>
        <w:t>一点五</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船板-船板千分之</w:t>
      </w:r>
      <w:r>
        <w:rPr>
          <w:rFonts w:hint="eastAsia" w:ascii="仿宋_GB2312" w:hAnsi="仿宋_GB2312" w:eastAsia="仿宋_GB2312" w:cs="仿宋_GB2312"/>
          <w:color w:val="auto"/>
          <w:sz w:val="24"/>
          <w:szCs w:val="24"/>
          <w:lang w:val="en-US" w:eastAsia="zh-CN"/>
        </w:rPr>
        <w:t>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具体运输方式见运输确认单。海南发货按单船月度统算损耗，超损的部分由</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按货物该月平均价格赔偿；</w:t>
      </w:r>
    </w:p>
    <w:p w14:paraId="1A2308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2、当船舶在装货港因密度等原因出现装货数量争议时，应及时通知</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，并积极配合重新计量，在取得</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认可后，方可离泊；</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不承担装卸两港因为货物自身密度差异产生的损耗赔偿。</w:t>
      </w:r>
    </w:p>
    <w:p w14:paraId="43FD7D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应保证运输途中维持货物品质，保证货物在整个运输过程中不受原底油或其他污染。</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严禁对所装运货物私自进行任何非法或违规操作。</w:t>
      </w:r>
    </w:p>
    <w:p w14:paraId="590550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八、操作注意事项</w:t>
      </w:r>
    </w:p>
    <w:p w14:paraId="4963F7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1、装货前，</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或委托发货人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负责安排商检并验舱，确认船舶适装货物，船舶应将验舱结果及时告知</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。但</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或商检对船舶底油、空舱或适装性的确认，不影响本合同下</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对货物品质的保证责任。装货结束后，船舶应积极配合码头、库方、发货人及商检等计量船舶载货量及岸罐发货量。计量结束后，船舶第一时间将船舶载货量、岸罐罐发量等用于确定装货港数量的相关数据告知</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，并告知计量用密度。如未经托运方同意，不得签单；海南发货为了提高码头效率装完货后船可以先离泊，由</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驻厂代表汇同商检、炼厂计量部门一起计量。</w:t>
      </w:r>
    </w:p>
    <w:p w14:paraId="092146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2、装卸港</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或发货人、收货人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权选择在装后、卸前全货舱分上、中、下三层取混合样。船舶应妥善保管装卸港油样，该油样应是商检所取并签字封存的有效货物样品并有商检给出的明确编号；如无商检，则应为船方与发货人或收货人代表共同取得并签字封存。每次取样操作，船方自身必须保留除收发货人所需外的至少两瓶有效油样。油样最少应保存至卸货完毕后90天。一旦发生计量争议，根据</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指示将指定油样转交相关方。如</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或船舶未按此要求操作留存油样，则</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承担并赔付</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的全部损失；</w:t>
      </w:r>
    </w:p>
    <w:p w14:paraId="1C9727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3、装港货运单证的要求：船舶应在装货前主动向商检索要适装证书，计量结束后索要船舶计量报告、质量证书及油样报告，并尽快传给</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；在卸货港，船舶应主动向收货人索要卸货前的量船报告及卸货后的干舱证明及罐收计量报告，并于2个工作日转交给</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w:t>
      </w:r>
    </w:p>
    <w:p w14:paraId="686AA7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应保证货物在整个运输过程中不受污染，如因货舱不清洁或运输途中承运方的其他责任，造成货物品质与装货出厂或出库合格证标明的品质的不符，则</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承担并赔付</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的全部损失。</w:t>
      </w:r>
    </w:p>
    <w:p w14:paraId="1FF252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九、违约责任</w:t>
      </w:r>
    </w:p>
    <w:p w14:paraId="6DBD92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的违约责任：</w:t>
      </w:r>
    </w:p>
    <w:p w14:paraId="35C23E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违反货物合法性保证，导致</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船舶被扣押或滞留的，应赔偿</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因此遭受的经济损失；</w:t>
      </w:r>
    </w:p>
    <w:p w14:paraId="7A657E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在装货港开航后，如果改变航次运输计划的，双方可根据</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产生的绕航损失重新协商确认运价；</w:t>
      </w:r>
    </w:p>
    <w:p w14:paraId="096176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如船舶到港72小时没有任何码头的装货计划即视为“货物运输计划落空”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甲方</w:t>
      </w:r>
      <w:r>
        <w:rPr>
          <w:rFonts w:hint="eastAsia" w:ascii="仿宋_GB2312" w:hAnsi="仿宋_GB2312" w:eastAsia="仿宋_GB2312" w:cs="仿宋_GB2312"/>
          <w:color w:val="auto"/>
          <w:sz w:val="24"/>
          <w:szCs w:val="24"/>
        </w:rPr>
        <w:t>应该按照该航次总运费的30%补偿</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w:t>
      </w:r>
    </w:p>
    <w:p w14:paraId="4BF3CE5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3000吨级船装、卸货两港作业时间为120小时，滞港费标准15000元；4000-5000吨级船装、卸货两港作业时间为120小时，滞港费标准15000元；7500吨级船装、卸货两港作业时间为144小时，滞港费标准20000元；10000吨级船装、卸货两港作业时间为168小时，滞港费标准25000元；</w:t>
      </w:r>
    </w:p>
    <w:p w14:paraId="031040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按承运船舶到达装卸货港，向港航海事部门或货主</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代理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单位报到时起至装卸货完毕时间。因</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原因，超过双方约定的装卸货时间，造成船舶滞港，</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应支付承运方船舶滞港费。</w:t>
      </w:r>
    </w:p>
    <w:p w14:paraId="15E809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的违约责任：</w:t>
      </w:r>
    </w:p>
    <w:p w14:paraId="0D4BCD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每一运输航次下，如果船舶不能在受载期最后一天24点前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北京时间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到达装货港并做好装货准备的，超出受载期船舶造成</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需要调整经营计划与生产计划的，</w:t>
      </w:r>
      <w:r>
        <w:rPr>
          <w:rFonts w:hint="eastAsia" w:ascii="仿宋_GB2312" w:hAnsi="仿宋_GB2312" w:eastAsia="仿宋_GB2312" w:cs="仿宋_GB2312"/>
          <w:color w:val="auto"/>
          <w:sz w:val="24"/>
          <w:szCs w:val="24"/>
          <w:lang w:val="en-US" w:eastAsia="zh-CN"/>
        </w:rPr>
        <w:t>甲方</w:t>
      </w:r>
      <w:r>
        <w:rPr>
          <w:rFonts w:hint="eastAsia" w:ascii="仿宋_GB2312" w:hAnsi="仿宋_GB2312" w:eastAsia="仿宋_GB2312" w:cs="仿宋_GB2312"/>
          <w:color w:val="auto"/>
          <w:sz w:val="24"/>
          <w:szCs w:val="24"/>
        </w:rPr>
        <w:t>以函件的方式告知</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并扣两倍运费；发函后48小时内船舶仍未到的扣三倍运费发函后72小时内船舶未到的扣六倍运费。若因自然灾害、战争、骚乱等不可抗力因素造成的延误，则不追究</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责任</w:t>
      </w:r>
      <w:r>
        <w:rPr>
          <w:rFonts w:hint="eastAsia" w:ascii="仿宋_GB2312" w:hAnsi="仿宋_GB2312" w:eastAsia="仿宋_GB2312" w:cs="仿宋_GB2312"/>
          <w:color w:val="auto"/>
          <w:sz w:val="24"/>
          <w:szCs w:val="24"/>
          <w:lang w:eastAsia="zh-CN"/>
        </w:rPr>
        <w:t>；</w:t>
      </w:r>
    </w:p>
    <w:p w14:paraId="1B5E70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因</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或船舶的原因，导致货物被海事或其他政府部门扣押或扣留的，</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应赔偿</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由此遭受的相应经济损失；</w:t>
      </w:r>
    </w:p>
    <w:p w14:paraId="5D46F4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应保证所运货物品质，保证货物在整个运输过程中不受污染，如因货舱不清洁、</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对货物进行非法或违规操作、运输途中</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的其他责任，造成货物品质与装货品质的不符，</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有权利向</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索赔；</w:t>
      </w:r>
    </w:p>
    <w:p w14:paraId="11E1B7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应对货物在运输途中遭受的货损货差、货物玷污或品质不符等问题向托运方或</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指定的收货人承担赔偿责任，包括但不限于货物价值、税费和法律费用等。其中货物价值以本船货物销售合同价格为准。</w:t>
      </w:r>
    </w:p>
    <w:p w14:paraId="339CE7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3、不可抗力及情势变更</w:t>
      </w:r>
    </w:p>
    <w:p w14:paraId="0D8C8F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在本合同有效期内，因不可抗力</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包括自然灾害、战争、骚乱等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导致本合同不能履行的，受不可抗力影响而履行不能的一方应在不可抗力事件发生后3个工作日内向对方发出书面通知，告知不可抗力事件。由双方协商应对措施或解除合同；</w:t>
      </w:r>
    </w:p>
    <w:p w14:paraId="031DD3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因不可抗力导致合同迟延履行或解除的，双方互不负违约责任；</w:t>
      </w:r>
    </w:p>
    <w:p w14:paraId="76D936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在本合同有效期内如因其他非不可抗力造成合同无法完全履行，双方应友好协商对本合同相关条款进行相应调整。如此合同无法履行，则双方应友好协商应对措施或解除合同以及给予对方相应的补偿。</w:t>
      </w:r>
    </w:p>
    <w:p w14:paraId="6D4EE1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十、适用法律及争议解决</w:t>
      </w:r>
    </w:p>
    <w:p w14:paraId="401CC7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1、本合同适用于《中华人民共和国民法典》的相关规定。凡因本合同引起的或与本合同有关的任何争议，双方应友好协商解决。如协商不成，则应提交</w:t>
      </w:r>
      <w:r>
        <w:rPr>
          <w:rFonts w:hint="eastAsia" w:ascii="仿宋_GB2312" w:hAnsi="仿宋_GB2312" w:eastAsia="仿宋_GB2312" w:cs="仿宋_GB2312"/>
          <w:color w:val="auto"/>
          <w:sz w:val="24"/>
          <w:szCs w:val="24"/>
          <w:lang w:val="en-US" w:eastAsia="zh-CN"/>
        </w:rPr>
        <w:t>洋浦经济开发区人民</w:t>
      </w:r>
      <w:r>
        <w:rPr>
          <w:rFonts w:hint="eastAsia" w:ascii="仿宋_GB2312" w:hAnsi="仿宋_GB2312" w:eastAsia="仿宋_GB2312" w:cs="仿宋_GB2312"/>
          <w:color w:val="auto"/>
          <w:sz w:val="24"/>
          <w:szCs w:val="24"/>
        </w:rPr>
        <w:t>法院；</w:t>
      </w:r>
      <w:bookmarkStart w:id="10" w:name="_GoBack"/>
      <w:bookmarkEnd w:id="10"/>
    </w:p>
    <w:p w14:paraId="448B93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2、如发生影响一方或双方履行合同能力的情况，当事人一方应立即书面通知另一方，由双方协商决定；</w:t>
      </w:r>
    </w:p>
    <w:p w14:paraId="742C22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有权根据货源安排变化、航线调整变化、系统内船舶及</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准入限制条件变化等因素，单方提出修改或解除、提前终止合同并书面通知</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对此不承担任何责任。</w:t>
      </w:r>
    </w:p>
    <w:p w14:paraId="7BEF42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十一、合同起止日期</w:t>
      </w:r>
    </w:p>
    <w:p w14:paraId="0E6DDD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日起至202</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日止。</w:t>
      </w:r>
    </w:p>
    <w:p w14:paraId="4F638F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十二、合同效力及附件</w:t>
      </w:r>
    </w:p>
    <w:p w14:paraId="73F61D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本合同一式</w:t>
      </w:r>
      <w:r>
        <w:rPr>
          <w:rFonts w:hint="eastAsia" w:ascii="仿宋_GB2312" w:hAnsi="仿宋_GB2312" w:eastAsia="仿宋_GB2312" w:cs="仿宋_GB2312"/>
          <w:color w:val="auto"/>
          <w:sz w:val="24"/>
          <w:szCs w:val="24"/>
          <w:lang w:val="en-US" w:eastAsia="zh-CN"/>
        </w:rPr>
        <w:t>肆</w:t>
      </w:r>
      <w:r>
        <w:rPr>
          <w:rFonts w:hint="eastAsia" w:ascii="仿宋_GB2312" w:hAnsi="仿宋_GB2312" w:eastAsia="仿宋_GB2312" w:cs="仿宋_GB2312"/>
          <w:color w:val="auto"/>
          <w:sz w:val="24"/>
          <w:szCs w:val="24"/>
        </w:rPr>
        <w:t>份，</w:t>
      </w:r>
      <w:r>
        <w:rPr>
          <w:rFonts w:hint="eastAsia" w:ascii="仿宋_GB2312" w:hAnsi="仿宋_GB2312" w:eastAsia="仿宋_GB2312" w:cs="仿宋_GB2312"/>
          <w:color w:val="auto"/>
          <w:sz w:val="24"/>
          <w:szCs w:val="24"/>
          <w:lang w:val="en-US" w:eastAsia="zh-CN"/>
        </w:rPr>
        <w:t>双</w:t>
      </w:r>
      <w:r>
        <w:rPr>
          <w:rFonts w:hint="eastAsia" w:ascii="仿宋_GB2312" w:hAnsi="仿宋_GB2312" w:eastAsia="仿宋_GB2312" w:cs="仿宋_GB2312"/>
          <w:color w:val="auto"/>
          <w:sz w:val="24"/>
          <w:szCs w:val="24"/>
        </w:rPr>
        <w:t>方各执</w:t>
      </w:r>
      <w:r>
        <w:rPr>
          <w:rFonts w:hint="eastAsia" w:ascii="仿宋_GB2312" w:hAnsi="仿宋_GB2312" w:eastAsia="仿宋_GB2312" w:cs="仿宋_GB2312"/>
          <w:color w:val="auto"/>
          <w:sz w:val="24"/>
          <w:szCs w:val="24"/>
          <w:lang w:val="en-US" w:eastAsia="zh-CN"/>
        </w:rPr>
        <w:t>两</w:t>
      </w:r>
      <w:r>
        <w:rPr>
          <w:rFonts w:hint="eastAsia" w:ascii="仿宋_GB2312" w:hAnsi="仿宋_GB2312" w:eastAsia="仿宋_GB2312" w:cs="仿宋_GB2312"/>
          <w:color w:val="auto"/>
          <w:sz w:val="24"/>
          <w:szCs w:val="24"/>
        </w:rPr>
        <w:t>份，本合同共有附件</w:t>
      </w:r>
      <w:r>
        <w:rPr>
          <w:rFonts w:hint="eastAsia" w:ascii="仿宋_GB2312" w:hAnsi="仿宋_GB2312" w:eastAsia="仿宋_GB2312" w:cs="仿宋_GB2312"/>
          <w:color w:val="auto"/>
          <w:sz w:val="24"/>
          <w:szCs w:val="24"/>
          <w:lang w:val="en-US" w:eastAsia="zh-CN"/>
        </w:rPr>
        <w:t>两</w:t>
      </w:r>
      <w:r>
        <w:rPr>
          <w:rFonts w:hint="eastAsia" w:ascii="仿宋_GB2312" w:hAnsi="仿宋_GB2312" w:eastAsia="仿宋_GB2312" w:cs="仿宋_GB2312"/>
          <w:color w:val="auto"/>
          <w:sz w:val="24"/>
          <w:szCs w:val="24"/>
        </w:rPr>
        <w:t>份。合同附件是本合同的组成部分，与本合同具有同等法律效力。本合同未尽事宜双方可另行签订补充协议，补充协议与本合同具有同等法律效力。本合同自双方</w:t>
      </w:r>
      <w:r>
        <w:rPr>
          <w:rFonts w:hint="eastAsia" w:ascii="仿宋_GB2312" w:hAnsi="仿宋_GB2312" w:eastAsia="仿宋_GB2312" w:cs="仿宋_GB2312"/>
          <w:color w:val="auto"/>
          <w:sz w:val="24"/>
          <w:szCs w:val="24"/>
          <w:lang w:val="en-US" w:eastAsia="zh-CN"/>
        </w:rPr>
        <w:t>加盖公章</w:t>
      </w:r>
      <w:r>
        <w:rPr>
          <w:rFonts w:hint="eastAsia" w:ascii="仿宋_GB2312" w:hAnsi="仿宋_GB2312" w:eastAsia="仿宋_GB2312" w:cs="仿宋_GB2312"/>
          <w:color w:val="auto"/>
          <w:sz w:val="24"/>
          <w:szCs w:val="24"/>
        </w:rPr>
        <w:t>后生效。</w:t>
      </w:r>
    </w:p>
    <w:p w14:paraId="40961AB5">
      <w:pPr>
        <w:rPr>
          <w:rFonts w:hint="eastAsia" w:ascii="仿宋_GB2312" w:hAnsi="仿宋_GB2312" w:eastAsia="仿宋_GB2312" w:cs="仿宋_GB2312"/>
          <w:color w:val="auto"/>
          <w:sz w:val="24"/>
          <w:szCs w:val="24"/>
        </w:rPr>
      </w:pPr>
    </w:p>
    <w:p w14:paraId="228B826C">
      <w:pPr>
        <w:rPr>
          <w:rFonts w:hint="eastAsia" w:ascii="仿宋_GB2312" w:hAnsi="仿宋_GB2312" w:eastAsia="仿宋_GB2312" w:cs="仿宋_GB2312"/>
          <w:color w:val="auto"/>
          <w:sz w:val="24"/>
          <w:szCs w:val="24"/>
        </w:rPr>
      </w:pPr>
    </w:p>
    <w:p w14:paraId="046B0C2B">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以上为合同正文</w:t>
      </w:r>
      <w:r>
        <w:rPr>
          <w:rFonts w:hint="eastAsia" w:ascii="仿宋_GB2312" w:hAnsi="仿宋_GB2312" w:eastAsia="仿宋_GB2312" w:cs="仿宋_GB2312"/>
          <w:b/>
          <w:bCs/>
          <w:color w:val="auto"/>
          <w:sz w:val="24"/>
          <w:szCs w:val="24"/>
          <w:lang w:eastAsia="zh-CN"/>
        </w:rPr>
        <w:t>）</w:t>
      </w:r>
    </w:p>
    <w:p w14:paraId="33F987F4">
      <w:pPr>
        <w:rPr>
          <w:rFonts w:hint="eastAsia" w:ascii="仿宋_GB2312" w:hAnsi="仿宋_GB2312" w:eastAsia="仿宋_GB2312" w:cs="仿宋_GB2312"/>
          <w:color w:val="auto"/>
          <w:sz w:val="24"/>
          <w:szCs w:val="24"/>
        </w:rPr>
      </w:pPr>
    </w:p>
    <w:p w14:paraId="7792A135">
      <w:pPr>
        <w:rPr>
          <w:rFonts w:hint="eastAsia" w:ascii="仿宋_GB2312" w:hAnsi="仿宋_GB2312" w:eastAsia="仿宋_GB2312" w:cs="仿宋_GB2312"/>
          <w:color w:val="auto"/>
          <w:sz w:val="24"/>
          <w:szCs w:val="24"/>
        </w:rPr>
      </w:pPr>
    </w:p>
    <w:p w14:paraId="07A6CA00">
      <w:pPr>
        <w:rPr>
          <w:rFonts w:hint="eastAsia" w:ascii="仿宋_GB2312" w:hAnsi="仿宋_GB2312" w:eastAsia="仿宋_GB2312" w:cs="仿宋_GB2312"/>
          <w:color w:val="auto"/>
          <w:sz w:val="24"/>
          <w:szCs w:val="24"/>
        </w:rPr>
      </w:pPr>
    </w:p>
    <w:p w14:paraId="117F7B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甲</w:t>
      </w:r>
      <w:r>
        <w:rPr>
          <w:rFonts w:hint="eastAsia" w:ascii="仿宋_GB2312" w:hAnsi="仿宋_GB2312" w:eastAsia="仿宋_GB2312" w:cs="仿宋_GB2312"/>
          <w:color w:val="auto"/>
          <w:sz w:val="24"/>
          <w:szCs w:val="24"/>
        </w:rPr>
        <w:t>方：海南洋浦陆海能源发展有限公司</w:t>
      </w:r>
    </w:p>
    <w:p w14:paraId="4AD1B7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lang w:val="en-US" w:eastAsia="zh-CN"/>
        </w:rPr>
      </w:pPr>
    </w:p>
    <w:p w14:paraId="3E3865E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日期：     年   月   日</w:t>
      </w:r>
    </w:p>
    <w:p w14:paraId="609444A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p>
    <w:p w14:paraId="1DB8C8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p>
    <w:p w14:paraId="4ED389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w:t>
      </w:r>
    </w:p>
    <w:p w14:paraId="1586D1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lang w:val="en-US" w:eastAsia="zh-CN"/>
        </w:rPr>
      </w:pPr>
    </w:p>
    <w:p w14:paraId="4E67E8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日期：     年   月   日</w:t>
      </w:r>
    </w:p>
    <w:p w14:paraId="128B2FD8">
      <w:pPr>
        <w:rPr>
          <w:rFonts w:hint="eastAsia" w:ascii="仿宋_GB2312" w:hAnsi="仿宋_GB2312" w:eastAsia="仿宋_GB2312" w:cs="仿宋_GB2312"/>
          <w:color w:val="auto"/>
          <w:sz w:val="24"/>
          <w:szCs w:val="24"/>
        </w:rPr>
      </w:pPr>
    </w:p>
    <w:p w14:paraId="215B94F0">
      <w:pPr>
        <w:rPr>
          <w:rFonts w:hint="eastAsia" w:ascii="仿宋_GB2312" w:hAnsi="仿宋_GB2312" w:eastAsia="仿宋_GB2312" w:cs="仿宋_GB2312"/>
          <w:color w:val="auto"/>
          <w:sz w:val="24"/>
          <w:szCs w:val="24"/>
        </w:rPr>
      </w:pPr>
    </w:p>
    <w:p w14:paraId="57AE9AB0">
      <w:pPr>
        <w:rPr>
          <w:rFonts w:hint="eastAsia" w:ascii="仿宋_GB2312" w:hAnsi="仿宋_GB2312" w:eastAsia="仿宋_GB2312" w:cs="仿宋_GB2312"/>
          <w:color w:val="auto"/>
          <w:sz w:val="24"/>
          <w:szCs w:val="24"/>
        </w:rPr>
      </w:pPr>
    </w:p>
    <w:p w14:paraId="14EE4025">
      <w:pPr>
        <w:rPr>
          <w:rFonts w:hint="eastAsia" w:ascii="仿宋_GB2312" w:hAnsi="仿宋_GB2312" w:eastAsia="仿宋_GB2312" w:cs="仿宋_GB2312"/>
          <w:color w:val="auto"/>
          <w:sz w:val="24"/>
          <w:szCs w:val="24"/>
        </w:rPr>
      </w:pPr>
    </w:p>
    <w:p w14:paraId="44AA5955">
      <w:pPr>
        <w:rPr>
          <w:rFonts w:hint="eastAsia" w:ascii="仿宋_GB2312" w:hAnsi="仿宋_GB2312" w:eastAsia="仿宋_GB2312" w:cs="仿宋_GB2312"/>
          <w:color w:val="auto"/>
          <w:sz w:val="24"/>
          <w:szCs w:val="24"/>
        </w:rPr>
      </w:pPr>
    </w:p>
    <w:p w14:paraId="6230DF8B">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附件一</w:t>
      </w:r>
      <w:r>
        <w:rPr>
          <w:rFonts w:hint="eastAsia" w:ascii="仿宋_GB2312" w:hAnsi="仿宋_GB2312" w:eastAsia="仿宋_GB2312" w:cs="仿宋_GB2312"/>
          <w:color w:val="auto"/>
          <w:sz w:val="24"/>
          <w:szCs w:val="24"/>
          <w:lang w:eastAsia="zh-CN"/>
        </w:rPr>
        <w:t>：</w:t>
      </w:r>
    </w:p>
    <w:p w14:paraId="30C69A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b/>
          <w:bCs/>
          <w:color w:val="auto"/>
          <w:sz w:val="30"/>
          <w:szCs w:val="30"/>
        </w:rPr>
        <w:t>运输确认单</w:t>
      </w:r>
    </w:p>
    <w:p w14:paraId="07D91AF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：海南洋浦陆海能源发展有限公司</w:t>
      </w:r>
    </w:p>
    <w:p w14:paraId="4E9944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w:t>
      </w:r>
    </w:p>
    <w:p w14:paraId="669315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经双方友好协商，</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和</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根据《船舶运输年度合同》的相关约定，就本航次运输事宜确认如下：</w:t>
      </w:r>
    </w:p>
    <w:p w14:paraId="543541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1、执行船舶明细：</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1"/>
        <w:gridCol w:w="4261"/>
      </w:tblGrid>
      <w:tr w14:paraId="1BF2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F5B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运输物品</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8A3F">
            <w:pPr>
              <w:jc w:val="center"/>
              <w:rPr>
                <w:rFonts w:hint="eastAsia" w:ascii="仿宋_GB2312" w:hAnsi="仿宋_GB2312" w:eastAsia="仿宋_GB2312" w:cs="仿宋_GB2312"/>
                <w:i w:val="0"/>
                <w:iCs w:val="0"/>
                <w:color w:val="auto"/>
                <w:sz w:val="24"/>
                <w:szCs w:val="24"/>
                <w:u w:val="none"/>
              </w:rPr>
            </w:pPr>
          </w:p>
        </w:tc>
      </w:tr>
      <w:tr w14:paraId="2D31E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B51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船运/一站式运价</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3A40">
            <w:pPr>
              <w:jc w:val="center"/>
              <w:rPr>
                <w:rFonts w:hint="eastAsia" w:ascii="仿宋_GB2312" w:hAnsi="仿宋_GB2312" w:eastAsia="仿宋_GB2312" w:cs="仿宋_GB2312"/>
                <w:i w:val="0"/>
                <w:iCs w:val="0"/>
                <w:color w:val="auto"/>
                <w:sz w:val="24"/>
                <w:szCs w:val="24"/>
                <w:u w:val="none"/>
              </w:rPr>
            </w:pPr>
          </w:p>
        </w:tc>
      </w:tr>
      <w:tr w14:paraId="553B1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0A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船名</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1607">
            <w:pPr>
              <w:jc w:val="center"/>
              <w:rPr>
                <w:rFonts w:hint="eastAsia" w:ascii="仿宋_GB2312" w:hAnsi="仿宋_GB2312" w:eastAsia="仿宋_GB2312" w:cs="仿宋_GB2312"/>
                <w:i w:val="0"/>
                <w:iCs w:val="0"/>
                <w:color w:val="auto"/>
                <w:sz w:val="24"/>
                <w:szCs w:val="24"/>
                <w:u w:val="none"/>
              </w:rPr>
            </w:pPr>
          </w:p>
        </w:tc>
      </w:tr>
      <w:tr w14:paraId="0D00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EB2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载重吨/载货吨</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6077">
            <w:pPr>
              <w:jc w:val="center"/>
              <w:rPr>
                <w:rFonts w:hint="eastAsia" w:ascii="仿宋_GB2312" w:hAnsi="仿宋_GB2312" w:eastAsia="仿宋_GB2312" w:cs="仿宋_GB2312"/>
                <w:i w:val="0"/>
                <w:iCs w:val="0"/>
                <w:color w:val="auto"/>
                <w:sz w:val="24"/>
                <w:szCs w:val="24"/>
                <w:u w:val="none"/>
              </w:rPr>
            </w:pPr>
          </w:p>
        </w:tc>
      </w:tr>
      <w:tr w14:paraId="4837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43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运输量（上下浮动10%）</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DE28">
            <w:pPr>
              <w:jc w:val="center"/>
              <w:rPr>
                <w:rFonts w:hint="eastAsia" w:ascii="仿宋_GB2312" w:hAnsi="仿宋_GB2312" w:eastAsia="仿宋_GB2312" w:cs="仿宋_GB2312"/>
                <w:i w:val="0"/>
                <w:iCs w:val="0"/>
                <w:color w:val="auto"/>
                <w:sz w:val="24"/>
                <w:szCs w:val="24"/>
                <w:u w:val="none"/>
              </w:rPr>
            </w:pPr>
          </w:p>
        </w:tc>
      </w:tr>
      <w:tr w14:paraId="054D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F8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受载期</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23DF">
            <w:pPr>
              <w:jc w:val="center"/>
              <w:rPr>
                <w:rFonts w:hint="eastAsia" w:ascii="仿宋_GB2312" w:hAnsi="仿宋_GB2312" w:eastAsia="仿宋_GB2312" w:cs="仿宋_GB2312"/>
                <w:i w:val="0"/>
                <w:iCs w:val="0"/>
                <w:color w:val="auto"/>
                <w:sz w:val="24"/>
                <w:szCs w:val="24"/>
                <w:u w:val="none"/>
              </w:rPr>
            </w:pPr>
          </w:p>
        </w:tc>
      </w:tr>
      <w:tr w14:paraId="50E6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D4C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装货港</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017D">
            <w:pPr>
              <w:jc w:val="center"/>
              <w:rPr>
                <w:rFonts w:hint="eastAsia" w:ascii="仿宋_GB2312" w:hAnsi="仿宋_GB2312" w:eastAsia="仿宋_GB2312" w:cs="仿宋_GB2312"/>
                <w:i w:val="0"/>
                <w:iCs w:val="0"/>
                <w:color w:val="auto"/>
                <w:sz w:val="24"/>
                <w:szCs w:val="24"/>
                <w:u w:val="none"/>
              </w:rPr>
            </w:pPr>
          </w:p>
        </w:tc>
      </w:tr>
      <w:tr w14:paraId="523FD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743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卸货港</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0574">
            <w:pPr>
              <w:jc w:val="center"/>
              <w:rPr>
                <w:rFonts w:hint="eastAsia" w:ascii="仿宋_GB2312" w:hAnsi="仿宋_GB2312" w:eastAsia="仿宋_GB2312" w:cs="仿宋_GB2312"/>
                <w:i w:val="0"/>
                <w:iCs w:val="0"/>
                <w:color w:val="auto"/>
                <w:sz w:val="24"/>
                <w:szCs w:val="24"/>
                <w:u w:val="none"/>
              </w:rPr>
            </w:pPr>
          </w:p>
        </w:tc>
      </w:tr>
    </w:tbl>
    <w:p w14:paraId="58B923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2、交接方式</w:t>
      </w:r>
      <w:r>
        <w:rPr>
          <w:rFonts w:hint="eastAsia" w:ascii="仿宋_GB2312" w:hAnsi="仿宋_GB2312" w:eastAsia="仿宋_GB2312" w:cs="仿宋_GB2312"/>
          <w:strike w:val="0"/>
          <w:dstrike w:val="0"/>
          <w:color w:val="auto"/>
          <w:sz w:val="24"/>
          <w:szCs w:val="24"/>
          <w:lang w:val="en-US" w:eastAsia="zh-CN"/>
        </w:rPr>
        <w:t>及</w:t>
      </w:r>
      <w:r>
        <w:rPr>
          <w:rFonts w:hint="eastAsia" w:ascii="仿宋_GB2312" w:hAnsi="仿宋_GB2312" w:eastAsia="仿宋_GB2312" w:cs="仿宋_GB2312"/>
          <w:color w:val="auto"/>
          <w:sz w:val="24"/>
          <w:szCs w:val="24"/>
        </w:rPr>
        <w:t>合理损耗：</w:t>
      </w:r>
    </w:p>
    <w:p w14:paraId="3C9655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船运：装卸岸罐一岸罐千分之</w:t>
      </w:r>
      <w:r>
        <w:rPr>
          <w:rFonts w:hint="eastAsia" w:ascii="仿宋_GB2312" w:hAnsi="仿宋_GB2312" w:eastAsia="仿宋_GB2312" w:cs="仿宋_GB2312"/>
          <w:color w:val="auto"/>
          <w:sz w:val="24"/>
          <w:szCs w:val="24"/>
          <w:lang w:val="en-US" w:eastAsia="zh-CN"/>
        </w:rPr>
        <w:t>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岸罐一船板千分之</w:t>
      </w:r>
      <w:r>
        <w:rPr>
          <w:rFonts w:hint="eastAsia" w:ascii="仿宋_GB2312" w:hAnsi="仿宋_GB2312" w:eastAsia="仿宋_GB2312" w:cs="仿宋_GB2312"/>
          <w:color w:val="auto"/>
          <w:sz w:val="24"/>
          <w:szCs w:val="24"/>
          <w:lang w:val="en-US" w:eastAsia="zh-CN"/>
        </w:rPr>
        <w:t>一点五</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船板一船板千分之</w:t>
      </w:r>
      <w:r>
        <w:rPr>
          <w:rFonts w:hint="eastAsia" w:ascii="仿宋_GB2312" w:hAnsi="仿宋_GB2312" w:eastAsia="仿宋_GB2312" w:cs="仿宋_GB2312"/>
          <w:color w:val="auto"/>
          <w:sz w:val="24"/>
          <w:szCs w:val="24"/>
          <w:lang w:val="en-US" w:eastAsia="zh-CN"/>
        </w:rPr>
        <w:t>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具体运输方式见运输确认单。</w:t>
      </w:r>
    </w:p>
    <w:p w14:paraId="32DB80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3、运费结算依据：</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卸货港船板量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、卸货港地磅量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、卸货港入罐量。以</w:t>
      </w:r>
      <w:r>
        <w:rPr>
          <w:rFonts w:hint="eastAsia" w:ascii="仿宋_GB2312" w:hAnsi="仿宋_GB2312" w:eastAsia="仿宋_GB2312" w:cs="仿宋_GB2312"/>
          <w:color w:val="auto"/>
          <w:sz w:val="24"/>
          <w:szCs w:val="24"/>
          <w:lang w:val="en-US" w:eastAsia="zh-CN"/>
        </w:rPr>
        <w:t>实际情况选择一项作为</w:t>
      </w:r>
      <w:r>
        <w:rPr>
          <w:rFonts w:hint="eastAsia" w:ascii="仿宋_GB2312" w:hAnsi="仿宋_GB2312" w:eastAsia="仿宋_GB2312" w:cs="仿宋_GB2312"/>
          <w:color w:val="auto"/>
          <w:sz w:val="24"/>
          <w:szCs w:val="24"/>
        </w:rPr>
        <w:t>结算</w:t>
      </w:r>
      <w:r>
        <w:rPr>
          <w:rFonts w:hint="eastAsia" w:ascii="仿宋_GB2312" w:hAnsi="仿宋_GB2312" w:eastAsia="仿宋_GB2312" w:cs="仿宋_GB2312"/>
          <w:color w:val="auto"/>
          <w:sz w:val="24"/>
          <w:szCs w:val="24"/>
          <w:lang w:val="en-US" w:eastAsia="zh-CN"/>
        </w:rPr>
        <w:t>数量依据</w:t>
      </w:r>
      <w:r>
        <w:rPr>
          <w:rFonts w:hint="eastAsia" w:ascii="仿宋_GB2312" w:hAnsi="仿宋_GB2312" w:eastAsia="仿宋_GB2312" w:cs="仿宋_GB2312"/>
          <w:color w:val="auto"/>
          <w:sz w:val="24"/>
          <w:szCs w:val="24"/>
        </w:rPr>
        <w:t>。</w:t>
      </w:r>
    </w:p>
    <w:p w14:paraId="6179A6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确认收到以上指示。</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承诺根据双方约定的义务以及上述航次指示完成本航次任务；</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承诺协助</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完成本航次任务并支付相应的运费。本航次确认书经双方主管部门签字盖章确认后，作为本航次运费结算的依据是本航次运输产生的全部结算费用，以后无其他牵扯事宜。</w:t>
      </w:r>
    </w:p>
    <w:p w14:paraId="56B143C0">
      <w:pPr>
        <w:rPr>
          <w:rFonts w:hint="eastAsia" w:ascii="仿宋_GB2312" w:hAnsi="仿宋_GB2312" w:eastAsia="仿宋_GB2312" w:cs="仿宋_GB2312"/>
          <w:sz w:val="24"/>
          <w:szCs w:val="24"/>
        </w:rPr>
      </w:pPr>
    </w:p>
    <w:p w14:paraId="0B53EB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甲方</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乙方</w:t>
      </w:r>
    </w:p>
    <w:p w14:paraId="013CFD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签字盖章</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签字盖章</w:t>
      </w:r>
    </w:p>
    <w:p w14:paraId="53EFD0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签订日期：</w:t>
      </w:r>
      <w:r>
        <w:rPr>
          <w:rFonts w:hint="eastAsia" w:ascii="仿宋_GB2312" w:hAnsi="仿宋_GB2312" w:eastAsia="仿宋_GB2312" w:cs="仿宋_GB2312"/>
          <w:sz w:val="24"/>
          <w:szCs w:val="24"/>
          <w:lang w:val="en-US" w:eastAsia="zh-CN"/>
        </w:rPr>
        <w:t xml:space="preserve">   年   月   日                     </w:t>
      </w:r>
      <w:r>
        <w:rPr>
          <w:rFonts w:hint="eastAsia" w:ascii="仿宋_GB2312" w:hAnsi="仿宋_GB2312" w:eastAsia="仿宋_GB2312" w:cs="仿宋_GB2312"/>
          <w:sz w:val="24"/>
          <w:szCs w:val="24"/>
        </w:rPr>
        <w:t>签订日期：</w:t>
      </w:r>
      <w:r>
        <w:rPr>
          <w:rFonts w:hint="eastAsia" w:ascii="仿宋_GB2312" w:hAnsi="仿宋_GB2312" w:eastAsia="仿宋_GB2312" w:cs="仿宋_GB2312"/>
          <w:sz w:val="24"/>
          <w:szCs w:val="24"/>
          <w:lang w:val="en-US" w:eastAsia="zh-CN"/>
        </w:rPr>
        <w:t xml:space="preserve">   年   月   日</w:t>
      </w:r>
    </w:p>
    <w:p w14:paraId="277D2E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_GB2312" w:hAnsi="仿宋_GB2312" w:eastAsia="仿宋_GB2312" w:cs="仿宋_GB2312"/>
          <w:sz w:val="24"/>
          <w:szCs w:val="24"/>
          <w:lang w:val="en-US"/>
        </w:rPr>
      </w:pPr>
    </w:p>
    <w:p w14:paraId="40A9B4E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4"/>
          <w:szCs w:val="24"/>
        </w:rPr>
      </w:pPr>
    </w:p>
    <w:p w14:paraId="416286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4"/>
          <w:szCs w:val="24"/>
        </w:rPr>
      </w:pPr>
    </w:p>
    <w:p w14:paraId="3C75314F">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附件</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21"/>
        <w:gridCol w:w="3307"/>
        <w:gridCol w:w="1616"/>
        <w:gridCol w:w="1478"/>
      </w:tblGrid>
      <w:tr w14:paraId="07504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4"/>
            <w:tcBorders>
              <w:top w:val="single" w:color="auto" w:sz="4" w:space="0"/>
              <w:left w:val="single" w:color="auto" w:sz="4" w:space="0"/>
              <w:bottom w:val="single" w:color="auto" w:sz="4" w:space="0"/>
              <w:right w:val="single" w:color="auto" w:sz="4" w:space="0"/>
              <w:tl2br w:val="nil"/>
            </w:tcBorders>
            <w:shd w:val="clear" w:color="auto" w:fill="auto"/>
            <w:vAlign w:val="center"/>
          </w:tcPr>
          <w:p w14:paraId="103645C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highlight w:val="none"/>
                <w:u w:val="none"/>
                <w:lang w:val="en-US"/>
              </w:rPr>
            </w:pPr>
            <w:r>
              <w:rPr>
                <w:rFonts w:hint="eastAsia" w:ascii="仿宋_GB2312" w:hAnsi="仿宋_GB2312" w:eastAsia="仿宋_GB2312" w:cs="仿宋_GB2312"/>
                <w:b w:val="0"/>
                <w:i w:val="0"/>
                <w:iCs w:val="0"/>
                <w:color w:val="000000"/>
                <w:kern w:val="0"/>
                <w:sz w:val="24"/>
                <w:szCs w:val="24"/>
                <w:highlight w:val="none"/>
                <w:u w:val="none"/>
                <w:lang w:val="en-US" w:eastAsia="zh-CN" w:bidi="ar"/>
              </w:rPr>
              <w:t>沥青船运价格</w:t>
            </w:r>
          </w:p>
        </w:tc>
      </w:tr>
      <w:tr w14:paraId="343D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766C3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发货地</w:t>
            </w:r>
          </w:p>
        </w:tc>
        <w:tc>
          <w:tcPr>
            <w:tcW w:w="19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1C5D5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到货地</w:t>
            </w:r>
          </w:p>
        </w:tc>
        <w:tc>
          <w:tcPr>
            <w:tcW w:w="948" w:type="pct"/>
            <w:tcBorders>
              <w:top w:val="single" w:color="auto" w:sz="4" w:space="0"/>
              <w:left w:val="single" w:color="auto" w:sz="4" w:space="0"/>
              <w:bottom w:val="single" w:color="auto" w:sz="4" w:space="0"/>
              <w:right w:val="single" w:color="auto" w:sz="4" w:space="0"/>
            </w:tcBorders>
            <w:shd w:val="clear" w:color="auto" w:fill="FFFFFF"/>
            <w:vAlign w:val="center"/>
          </w:tcPr>
          <w:p w14:paraId="2646DD3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船运费用（元/吨）</w:t>
            </w: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8D353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包含港口</w:t>
            </w:r>
          </w:p>
        </w:tc>
      </w:tr>
      <w:tr w14:paraId="5C58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45" w:type="pct"/>
            <w:vMerge w:val="restart"/>
            <w:tcBorders>
              <w:top w:val="single" w:color="auto" w:sz="4" w:space="0"/>
              <w:left w:val="single" w:color="auto" w:sz="4" w:space="0"/>
              <w:right w:val="single" w:color="auto" w:sz="4" w:space="0"/>
            </w:tcBorders>
            <w:shd w:val="clear" w:color="auto" w:fill="FFFFFF"/>
            <w:noWrap/>
            <w:vAlign w:val="center"/>
          </w:tcPr>
          <w:p w14:paraId="55BF412A">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val="0"/>
                <w:i w:val="0"/>
                <w:iCs w:val="0"/>
                <w:color w:val="000000"/>
                <w:kern w:val="0"/>
                <w:sz w:val="24"/>
                <w:szCs w:val="24"/>
                <w:u w:val="none"/>
                <w:lang w:val="en-US" w:eastAsia="zh-CN" w:bidi="ar"/>
              </w:rPr>
            </w:pPr>
            <w:r>
              <w:rPr>
                <w:rFonts w:hint="eastAsia" w:ascii="仿宋_GB2312" w:hAnsi="仿宋_GB2312" w:eastAsia="仿宋_GB2312" w:cs="仿宋_GB2312"/>
                <w:b w:val="0"/>
                <w:i w:val="0"/>
                <w:iCs w:val="0"/>
                <w:color w:val="000000"/>
                <w:kern w:val="0"/>
                <w:sz w:val="24"/>
                <w:szCs w:val="24"/>
                <w:u w:val="none"/>
                <w:lang w:val="en-US" w:eastAsia="zh-CN" w:bidi="ar"/>
              </w:rPr>
              <w:t>海南洋浦</w:t>
            </w:r>
          </w:p>
        </w:tc>
        <w:tc>
          <w:tcPr>
            <w:tcW w:w="194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6424696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广东</w:t>
            </w:r>
          </w:p>
        </w:tc>
        <w:tc>
          <w:tcPr>
            <w:tcW w:w="9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5186C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AE4D3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佛山</w:t>
            </w:r>
          </w:p>
        </w:tc>
      </w:tr>
      <w:tr w14:paraId="1C98F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6B197D44">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21DC98B">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6E057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6C17D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茂名</w:t>
            </w:r>
          </w:p>
        </w:tc>
      </w:tr>
      <w:tr w14:paraId="1174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63C2E863">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00C9FDD">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1F1C64F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BE49F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广州</w:t>
            </w:r>
          </w:p>
        </w:tc>
      </w:tr>
      <w:tr w14:paraId="4732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3F2CEA0A">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4B05D60">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FA3C1BE">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B96C7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南沙</w:t>
            </w:r>
          </w:p>
        </w:tc>
      </w:tr>
      <w:tr w14:paraId="38936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771738C1">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560048F">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4E9B7FA">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B6513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东莞</w:t>
            </w:r>
          </w:p>
        </w:tc>
      </w:tr>
      <w:tr w14:paraId="3A341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5BC70D8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kern w:val="0"/>
                <w:sz w:val="24"/>
                <w:szCs w:val="24"/>
                <w:u w:val="none"/>
                <w:lang w:val="en-US" w:eastAsia="zh-CN" w:bidi="ar"/>
              </w:rPr>
            </w:pPr>
          </w:p>
        </w:tc>
        <w:tc>
          <w:tcPr>
            <w:tcW w:w="194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381A55F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广西</w:t>
            </w:r>
          </w:p>
        </w:tc>
        <w:tc>
          <w:tcPr>
            <w:tcW w:w="948"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57F2338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812AD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钦州</w:t>
            </w:r>
          </w:p>
        </w:tc>
      </w:tr>
      <w:tr w14:paraId="55A5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21AAD1BC">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5848569">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4B2B5F5">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37CF5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北海</w:t>
            </w:r>
          </w:p>
        </w:tc>
      </w:tr>
      <w:tr w14:paraId="6E13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5A3F893B">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3F6C8BB">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F387AA6">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1BE25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防城港</w:t>
            </w:r>
          </w:p>
        </w:tc>
      </w:tr>
      <w:tr w14:paraId="2186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65ADEA4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kern w:val="0"/>
                <w:sz w:val="24"/>
                <w:szCs w:val="24"/>
                <w:u w:val="none"/>
                <w:lang w:val="en-US" w:eastAsia="zh-CN" w:bidi="ar"/>
              </w:rPr>
            </w:pPr>
          </w:p>
        </w:tc>
        <w:tc>
          <w:tcPr>
            <w:tcW w:w="194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03092AA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福建</w:t>
            </w:r>
          </w:p>
        </w:tc>
        <w:tc>
          <w:tcPr>
            <w:tcW w:w="948"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00DCA9C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41420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厦门</w:t>
            </w:r>
          </w:p>
        </w:tc>
      </w:tr>
      <w:tr w14:paraId="6D16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197768F2">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466068C">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546873F">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13286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漳州</w:t>
            </w:r>
          </w:p>
        </w:tc>
      </w:tr>
      <w:tr w14:paraId="189B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55BDD84F">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5C70A42">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0845DE0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lang w:val="en-US"/>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42899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江阴</w:t>
            </w:r>
          </w:p>
        </w:tc>
      </w:tr>
      <w:tr w14:paraId="4E505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2FBA9204">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6BBDE5F">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73A7589">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1502B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莆田</w:t>
            </w:r>
          </w:p>
        </w:tc>
      </w:tr>
      <w:tr w14:paraId="7C34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6DC87DA9">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35F1A07">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DE209F2">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BB9B4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泉州</w:t>
            </w:r>
          </w:p>
        </w:tc>
      </w:tr>
      <w:tr w14:paraId="1851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4C44BF7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kern w:val="0"/>
                <w:sz w:val="24"/>
                <w:szCs w:val="24"/>
                <w:u w:val="none"/>
                <w:lang w:val="en-US" w:eastAsia="zh-CN" w:bidi="ar"/>
              </w:rPr>
            </w:pPr>
          </w:p>
        </w:tc>
        <w:tc>
          <w:tcPr>
            <w:tcW w:w="194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7151B5A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浙江</w:t>
            </w:r>
          </w:p>
        </w:tc>
        <w:tc>
          <w:tcPr>
            <w:tcW w:w="948"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051FF1E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4C24D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台州</w:t>
            </w:r>
          </w:p>
        </w:tc>
      </w:tr>
      <w:tr w14:paraId="4256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44354811">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9348EAD">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DECED82">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F8DD0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温州</w:t>
            </w:r>
          </w:p>
        </w:tc>
      </w:tr>
      <w:tr w14:paraId="6B278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0F585F86">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46521FD">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6CD5DF7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lang w:val="en-US"/>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8FE7A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乍浦</w:t>
            </w:r>
          </w:p>
        </w:tc>
      </w:tr>
      <w:tr w14:paraId="0E9D2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17AEE9D5">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7A3898B">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97D1F70">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13EEA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宁波</w:t>
            </w:r>
          </w:p>
        </w:tc>
      </w:tr>
      <w:tr w14:paraId="22495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6BE3926E">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78EB81E">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65738F3">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CA39D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舟山</w:t>
            </w:r>
          </w:p>
        </w:tc>
      </w:tr>
      <w:tr w14:paraId="326DF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5DB2734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kern w:val="0"/>
                <w:sz w:val="24"/>
                <w:szCs w:val="24"/>
                <w:u w:val="none"/>
                <w:lang w:val="en-US" w:eastAsia="zh-CN" w:bidi="ar"/>
              </w:rPr>
            </w:pPr>
          </w:p>
        </w:tc>
        <w:tc>
          <w:tcPr>
            <w:tcW w:w="194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4B32EE6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江苏</w:t>
            </w:r>
          </w:p>
        </w:tc>
        <w:tc>
          <w:tcPr>
            <w:tcW w:w="948"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1F9231C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lang w:val="en-US"/>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7092C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镇江</w:t>
            </w:r>
          </w:p>
        </w:tc>
      </w:tr>
      <w:tr w14:paraId="2DC3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2AD1B14E">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61BC155">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A9A0D13">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F4278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南京</w:t>
            </w:r>
          </w:p>
        </w:tc>
      </w:tr>
      <w:tr w14:paraId="0CF2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4F39B184">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6D8694D">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19DBD71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89723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南通</w:t>
            </w:r>
          </w:p>
        </w:tc>
      </w:tr>
      <w:tr w14:paraId="6374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0DC1C434">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1CF3F93">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57A7C58">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74DE6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无锡</w:t>
            </w:r>
          </w:p>
        </w:tc>
      </w:tr>
      <w:tr w14:paraId="0C17B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7EB101F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kern w:val="0"/>
                <w:sz w:val="24"/>
                <w:szCs w:val="24"/>
                <w:u w:val="none"/>
                <w:lang w:val="en-US" w:eastAsia="zh-CN" w:bidi="ar"/>
              </w:rPr>
            </w:pPr>
          </w:p>
        </w:tc>
        <w:tc>
          <w:tcPr>
            <w:tcW w:w="194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45D57C9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山东</w:t>
            </w:r>
          </w:p>
        </w:tc>
        <w:tc>
          <w:tcPr>
            <w:tcW w:w="948"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4B527BD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2E3A2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日照</w:t>
            </w:r>
          </w:p>
        </w:tc>
      </w:tr>
      <w:tr w14:paraId="0C77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52F0879A">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7F8646F">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05C9FAA">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4AA6E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青岛</w:t>
            </w:r>
          </w:p>
        </w:tc>
      </w:tr>
      <w:tr w14:paraId="3EAB6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654F6651">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CEB1455">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51E28E2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20CEE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烟台</w:t>
            </w:r>
          </w:p>
        </w:tc>
      </w:tr>
      <w:tr w14:paraId="13273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34D8AD10">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D36737F">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547386D">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74018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潍坊</w:t>
            </w:r>
          </w:p>
        </w:tc>
      </w:tr>
      <w:tr w14:paraId="2E35D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7C16C293">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4366D2F">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9F860DF">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C64F0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东营</w:t>
            </w:r>
          </w:p>
        </w:tc>
      </w:tr>
      <w:tr w14:paraId="164B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33F52123">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A8E0D4C">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573FFD4">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BAD64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滨州</w:t>
            </w:r>
          </w:p>
        </w:tc>
      </w:tr>
      <w:tr w14:paraId="22D7E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71FF352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kern w:val="0"/>
                <w:sz w:val="24"/>
                <w:szCs w:val="24"/>
                <w:u w:val="none"/>
                <w:lang w:val="en-US" w:eastAsia="zh-CN" w:bidi="ar"/>
              </w:rPr>
            </w:pPr>
          </w:p>
        </w:tc>
        <w:tc>
          <w:tcPr>
            <w:tcW w:w="19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9B264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天津</w:t>
            </w:r>
          </w:p>
        </w:tc>
        <w:tc>
          <w:tcPr>
            <w:tcW w:w="9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A7EC9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827A8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天津</w:t>
            </w:r>
          </w:p>
        </w:tc>
      </w:tr>
      <w:tr w14:paraId="365C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65B200C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kern w:val="0"/>
                <w:sz w:val="24"/>
                <w:szCs w:val="24"/>
                <w:u w:val="none"/>
                <w:lang w:val="en-US" w:eastAsia="zh-CN" w:bidi="ar"/>
              </w:rPr>
            </w:pPr>
          </w:p>
        </w:tc>
        <w:tc>
          <w:tcPr>
            <w:tcW w:w="194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AC5507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辽宁</w:t>
            </w:r>
          </w:p>
        </w:tc>
        <w:tc>
          <w:tcPr>
            <w:tcW w:w="948"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6D70372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32B7E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大连</w:t>
            </w:r>
          </w:p>
        </w:tc>
      </w:tr>
      <w:tr w14:paraId="742D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right w:val="single" w:color="auto" w:sz="4" w:space="0"/>
            </w:tcBorders>
            <w:shd w:val="clear" w:color="auto" w:fill="FFFFFF"/>
            <w:noWrap/>
            <w:vAlign w:val="center"/>
          </w:tcPr>
          <w:p w14:paraId="135C7744">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08513DE">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1099A4E">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60703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营口</w:t>
            </w:r>
          </w:p>
        </w:tc>
      </w:tr>
      <w:tr w14:paraId="5DBFD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45" w:type="pct"/>
            <w:vMerge w:val="continue"/>
            <w:tcBorders>
              <w:left w:val="single" w:color="auto" w:sz="4" w:space="0"/>
              <w:bottom w:val="single" w:color="auto" w:sz="4" w:space="0"/>
              <w:right w:val="single" w:color="auto" w:sz="4" w:space="0"/>
            </w:tcBorders>
            <w:shd w:val="clear" w:color="auto" w:fill="FFFFFF"/>
            <w:noWrap/>
            <w:vAlign w:val="center"/>
          </w:tcPr>
          <w:p w14:paraId="02C6BBF3">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194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797126B">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94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4114E5E">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i w:val="0"/>
                <w:iCs w:val="0"/>
                <w:color w:val="000000"/>
                <w:sz w:val="24"/>
                <w:szCs w:val="24"/>
                <w:u w:val="none"/>
              </w:rPr>
            </w:pPr>
          </w:p>
        </w:tc>
        <w:tc>
          <w:tcPr>
            <w:tcW w:w="8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839CC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i w:val="0"/>
                <w:iCs w:val="0"/>
                <w:color w:val="000000"/>
                <w:sz w:val="24"/>
                <w:szCs w:val="24"/>
                <w:u w:val="none"/>
              </w:rPr>
            </w:pPr>
            <w:r>
              <w:rPr>
                <w:rFonts w:hint="eastAsia" w:ascii="仿宋_GB2312" w:hAnsi="仿宋_GB2312" w:eastAsia="仿宋_GB2312" w:cs="仿宋_GB2312"/>
                <w:b w:val="0"/>
                <w:i w:val="0"/>
                <w:iCs w:val="0"/>
                <w:color w:val="000000"/>
                <w:kern w:val="0"/>
                <w:sz w:val="24"/>
                <w:szCs w:val="24"/>
                <w:u w:val="none"/>
                <w:lang w:val="en-US" w:eastAsia="zh-CN" w:bidi="ar"/>
              </w:rPr>
              <w:t>锦州</w:t>
            </w:r>
          </w:p>
        </w:tc>
      </w:tr>
    </w:tbl>
    <w:p w14:paraId="5692BCE2">
      <w:pPr>
        <w:rPr>
          <w:rFonts w:hint="eastAsia" w:ascii="仿宋_GB2312" w:hAnsi="仿宋_GB2312" w:eastAsia="仿宋_GB2312" w:cs="仿宋_GB2312"/>
          <w:sz w:val="24"/>
          <w:szCs w:val="24"/>
          <w:lang w:val="en-US" w:eastAsia="zh-CN"/>
        </w:rPr>
      </w:pPr>
    </w:p>
    <w:p w14:paraId="7F6D2998">
      <w:pPr>
        <w:rPr>
          <w:rFonts w:hint="eastAsia" w:ascii="仿宋_GB2312" w:hAnsi="仿宋_GB2312" w:eastAsia="仿宋_GB2312" w:cs="仿宋_GB2312"/>
          <w:sz w:val="24"/>
          <w:szCs w:val="24"/>
          <w:lang w:val="en-US" w:eastAsia="zh-CN"/>
        </w:rPr>
      </w:pPr>
    </w:p>
    <w:p w14:paraId="60CA0BA6">
      <w:pPr>
        <w:pStyle w:val="5"/>
        <w:ind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14:paraId="41304AC4">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br w:type="page"/>
      </w:r>
    </w:p>
    <w:p w14:paraId="35262CA7">
      <w:pPr>
        <w:pStyle w:val="5"/>
        <w:ind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附件一：</w:t>
      </w:r>
    </w:p>
    <w:p w14:paraId="0080752E">
      <w:pPr>
        <w:spacing w:line="440" w:lineRule="exact"/>
        <w:jc w:val="center"/>
        <w:rPr>
          <w:rFonts w:hint="eastAsia" w:ascii="仿宋" w:hAnsi="仿宋" w:eastAsia="仿宋" w:cs="仿宋"/>
          <w:b/>
          <w:bCs/>
          <w:color w:val="auto"/>
          <w:sz w:val="44"/>
          <w:szCs w:val="44"/>
          <w:highlight w:val="none"/>
        </w:rPr>
      </w:pPr>
      <w:r>
        <w:rPr>
          <w:rFonts w:hint="eastAsia" w:ascii="仿宋" w:hAnsi="仿宋" w:eastAsia="仿宋" w:cs="仿宋"/>
          <w:b/>
          <w:bCs/>
          <w:sz w:val="44"/>
          <w:szCs w:val="44"/>
          <w:highlight w:val="none"/>
        </w:rPr>
        <w:t>廉洁协议</w:t>
      </w:r>
    </w:p>
    <w:p w14:paraId="617A5023">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66980EF2">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eastAsia="zh-CN"/>
        </w:rPr>
        <w:t>海南洋浦陆海能源发展有限公司</w:t>
      </w:r>
      <w:r>
        <w:rPr>
          <w:rFonts w:hint="eastAsia" w:ascii="仿宋" w:hAnsi="仿宋" w:eastAsia="仿宋" w:cs="仿宋"/>
          <w:sz w:val="24"/>
          <w:szCs w:val="24"/>
          <w:highlight w:val="none"/>
        </w:rPr>
        <w:t xml:space="preserve">】                     </w:t>
      </w:r>
    </w:p>
    <w:p w14:paraId="48F79057">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乙方：【                            】                             </w:t>
      </w:r>
    </w:p>
    <w:p w14:paraId="0F7EC4D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710E6BE6">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一、适用范围</w:t>
      </w:r>
    </w:p>
    <w:p w14:paraId="5F748856">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本合同适用于甲方、乙方的所有工作人员。</w:t>
      </w:r>
    </w:p>
    <w:p w14:paraId="0D88F56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二、甲方对其工作人员的廉洁要求</w:t>
      </w:r>
    </w:p>
    <w:p w14:paraId="0153C6C5">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甲方禁止其工作人员从事如下行为：</w:t>
      </w:r>
    </w:p>
    <w:p w14:paraId="1F5DCCC9">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2.1向乙方索要贿赂、收受回扣及好处费、感谢费等；</w:t>
      </w:r>
    </w:p>
    <w:p w14:paraId="619E3A97">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2.2接受乙方馈赠的礼品礼金、通讯工具、交通工具、家电、高档办公用品、购物卡券等；</w:t>
      </w:r>
    </w:p>
    <w:p w14:paraId="38C79BFC">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 以洽谈业务、签订经济合同为借口，接受乙方或其工作人员外出旅游和进入营业性高档娱乐场所的邀请；</w:t>
      </w:r>
    </w:p>
    <w:p w14:paraId="6C12EF82">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2.4以个人名义向乙方推荐和指定分包单位、</w:t>
      </w:r>
      <w:r>
        <w:rPr>
          <w:rFonts w:hint="eastAsia" w:ascii="仿宋" w:hAnsi="仿宋" w:eastAsia="仿宋" w:cs="仿宋"/>
          <w:sz w:val="24"/>
          <w:szCs w:val="24"/>
          <w:highlight w:val="none"/>
          <w:lang w:eastAsia="zh-CN"/>
        </w:rPr>
        <w:t>服务产品</w:t>
      </w:r>
      <w:r>
        <w:rPr>
          <w:rFonts w:hint="eastAsia" w:ascii="仿宋" w:hAnsi="仿宋" w:eastAsia="仿宋" w:cs="仿宋"/>
          <w:sz w:val="24"/>
          <w:szCs w:val="24"/>
          <w:highlight w:val="none"/>
        </w:rPr>
        <w:t>供应商，向乙方、分包单位、</w:t>
      </w:r>
      <w:r>
        <w:rPr>
          <w:rFonts w:hint="eastAsia" w:ascii="仿宋" w:hAnsi="仿宋" w:eastAsia="仿宋" w:cs="仿宋"/>
          <w:sz w:val="24"/>
          <w:szCs w:val="24"/>
          <w:highlight w:val="none"/>
          <w:lang w:eastAsia="zh-CN"/>
        </w:rPr>
        <w:t>服务产品</w:t>
      </w:r>
      <w:r>
        <w:rPr>
          <w:rFonts w:hint="eastAsia" w:ascii="仿宋" w:hAnsi="仿宋" w:eastAsia="仿宋" w:cs="仿宋"/>
          <w:sz w:val="24"/>
          <w:szCs w:val="24"/>
          <w:highlight w:val="none"/>
        </w:rPr>
        <w:t>供应商等单位介绍其配偶、子女、亲属等特定关系人从事与履行甲乙双方间合同有关的营利性经营活动；</w:t>
      </w:r>
    </w:p>
    <w:p w14:paraId="39E6D23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2.5要求或者接受乙方为其住房装修、婚丧嫁娶、家属和子女的工作安排以及出境等提供方便；</w:t>
      </w:r>
    </w:p>
    <w:p w14:paraId="2995BDC3">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2.6利用职务便利，向乙方或分包、协作队伍、</w:t>
      </w:r>
      <w:r>
        <w:rPr>
          <w:rFonts w:hint="eastAsia" w:ascii="仿宋" w:hAnsi="仿宋" w:eastAsia="仿宋" w:cs="仿宋"/>
          <w:sz w:val="24"/>
          <w:szCs w:val="24"/>
          <w:highlight w:val="none"/>
          <w:lang w:eastAsia="zh-CN"/>
        </w:rPr>
        <w:t>服务产品</w:t>
      </w:r>
      <w:r>
        <w:rPr>
          <w:rFonts w:hint="eastAsia" w:ascii="仿宋" w:hAnsi="仿宋" w:eastAsia="仿宋" w:cs="仿宋"/>
          <w:sz w:val="24"/>
          <w:szCs w:val="24"/>
          <w:highlight w:val="none"/>
        </w:rPr>
        <w:t>供应商借用交通工具、工款等，或提出、暗示其他不正当要求；</w:t>
      </w:r>
    </w:p>
    <w:p w14:paraId="1E5CB4FB">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 要求乙方报销任何应由其个人承担的费用；</w:t>
      </w:r>
    </w:p>
    <w:p w14:paraId="6EE4630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2.8 参加有可能影响公正开展工作的宴请、娱乐或其它活动</w:t>
      </w:r>
    </w:p>
    <w:p w14:paraId="38FD1BB8">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2.9 进行其他违反政策、法律法规或廉洁从业要求的其他行为。</w:t>
      </w:r>
    </w:p>
    <w:p w14:paraId="05EFC903">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三、乙方发现甲方工作人员有本合同第二条所列任何行为，有义务拒绝，亦有义务向甲方举报。</w:t>
      </w:r>
    </w:p>
    <w:p w14:paraId="5BB76F07">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甲方接受举报的途径如下：</w:t>
      </w:r>
    </w:p>
    <w:p w14:paraId="38287A51">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公司受理部门：纪检监察室</w:t>
      </w:r>
    </w:p>
    <w:p w14:paraId="68961B1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公司受理电话：0898-28810186        </w:t>
      </w:r>
    </w:p>
    <w:p w14:paraId="27C7E7A1">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公司受理邮箱：chengl@hnyplh.com</w:t>
      </w:r>
    </w:p>
    <w:p w14:paraId="384FBD0B">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4134B408">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五、乙方若须按照本廉洁协议约定承担违约责任，并不影响其按照主合同的约定承担违约责任。</w:t>
      </w:r>
    </w:p>
    <w:p w14:paraId="546133E7">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六、本廉洁协作为合同的附件，与合同具有同等法律效力，经合同双方签署后生效。</w:t>
      </w:r>
    </w:p>
    <w:p w14:paraId="390718D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七、本合同【一式肆份，甲方执贰份,乙方执贰份】，具有同等效力。</w:t>
      </w:r>
    </w:p>
    <w:p w14:paraId="238664FD">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41732ABD">
      <w:pPr>
        <w:spacing w:line="440" w:lineRule="exact"/>
        <w:ind w:left="6240" w:hanging="6240" w:hangingChars="26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                 】              </w:t>
      </w:r>
    </w:p>
    <w:p w14:paraId="1D62A06B">
      <w:pPr>
        <w:spacing w:line="440" w:lineRule="exact"/>
        <w:ind w:left="6240" w:hanging="6240" w:hangingChars="26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672C0DBA">
      <w:pPr>
        <w:spacing w:line="440" w:lineRule="exact"/>
        <w:ind w:left="6240" w:hanging="6240" w:hangingChars="26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法定代表人（委托代理人）：【     】</w:t>
      </w:r>
    </w:p>
    <w:p w14:paraId="0C408BD2">
      <w:pPr>
        <w:spacing w:line="440" w:lineRule="exact"/>
        <w:ind w:left="6240" w:hanging="6240" w:hangingChars="26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53456F00">
      <w:pPr>
        <w:spacing w:line="440" w:lineRule="exact"/>
        <w:ind w:left="6240" w:hanging="6240" w:hangingChars="2600"/>
        <w:rPr>
          <w:rFonts w:hint="eastAsia" w:ascii="仿宋" w:hAnsi="仿宋" w:eastAsia="仿宋" w:cs="仿宋"/>
          <w:sz w:val="24"/>
          <w:szCs w:val="24"/>
          <w:highlight w:val="none"/>
        </w:rPr>
      </w:pPr>
      <w:r>
        <w:rPr>
          <w:rFonts w:hint="eastAsia" w:ascii="仿宋" w:hAnsi="仿宋" w:eastAsia="仿宋" w:cs="仿宋"/>
          <w:sz w:val="24"/>
          <w:szCs w:val="24"/>
          <w:highlight w:val="none"/>
        </w:rPr>
        <w:t>乙方：【                  】</w:t>
      </w:r>
    </w:p>
    <w:p w14:paraId="2390B83E">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68FEECA">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法定代表人（委托代理人）：【     】</w:t>
      </w:r>
    </w:p>
    <w:p w14:paraId="4BE47ED0">
      <w:pPr>
        <w:pStyle w:val="28"/>
        <w:numPr>
          <w:ilvl w:val="0"/>
          <w:numId w:val="0"/>
        </w:numPr>
        <w:spacing w:line="360" w:lineRule="auto"/>
        <w:jc w:val="center"/>
        <w:rPr>
          <w:rFonts w:hint="eastAsia" w:asciiTheme="minorEastAsia" w:hAnsiTheme="minorEastAsia" w:eastAsiaTheme="minorEastAsia" w:cstheme="minorEastAsia"/>
          <w:b/>
          <w:bCs/>
          <w:color w:val="000000" w:themeColor="text1"/>
          <w:kern w:val="44"/>
          <w:sz w:val="24"/>
          <w:szCs w:val="24"/>
          <w:highlight w:val="none"/>
          <w:lang w:val="en-US" w:eastAsia="zh-CN"/>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20DE7299">
      <w:pPr>
        <w:pStyle w:val="28"/>
        <w:numPr>
          <w:ilvl w:val="0"/>
          <w:numId w:val="0"/>
        </w:numPr>
        <w:spacing w:line="360" w:lineRule="auto"/>
        <w:jc w:val="cente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t>第四章 报价文件</w:t>
      </w:r>
    </w:p>
    <w:p w14:paraId="6F6CA91C">
      <w:pPr>
        <w:pStyle w:val="28"/>
        <w:numPr>
          <w:ilvl w:val="0"/>
          <w:numId w:val="0"/>
        </w:numPr>
        <w:spacing w:line="360" w:lineRule="auto"/>
        <w:jc w:val="center"/>
        <w:rPr>
          <w:rFonts w:hint="eastAsia" w:ascii="楷体" w:hAnsi="楷体" w:eastAsia="楷体" w:cs="楷体"/>
          <w:b/>
          <w:bCs/>
          <w:color w:val="000000" w:themeColor="text1"/>
          <w:kern w:val="44"/>
          <w:sz w:val="24"/>
          <w:szCs w:val="24"/>
          <w:highlight w:val="none"/>
          <w14:textFill>
            <w14:solidFill>
              <w14:schemeClr w14:val="tx1"/>
            </w14:solidFill>
          </w14:textFill>
        </w:rPr>
      </w:pPr>
      <w: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t>一、</w:t>
      </w:r>
      <w:r>
        <w:rPr>
          <w:rFonts w:hint="eastAsia" w:ascii="楷体" w:hAnsi="楷体" w:eastAsia="楷体" w:cs="楷体"/>
          <w:b/>
          <w:bCs/>
          <w:color w:val="000000" w:themeColor="text1"/>
          <w:kern w:val="44"/>
          <w:sz w:val="24"/>
          <w:szCs w:val="24"/>
          <w:highlight w:val="none"/>
          <w14:textFill>
            <w14:solidFill>
              <w14:schemeClr w14:val="tx1"/>
            </w14:solidFill>
          </w14:textFill>
        </w:rPr>
        <w:t>报价单</w:t>
      </w:r>
    </w:p>
    <w:p w14:paraId="198D206E">
      <w:pPr>
        <w:pStyle w:val="28"/>
        <w:numPr>
          <w:ilvl w:val="0"/>
          <w:numId w:val="0"/>
        </w:numPr>
        <w:spacing w:line="400" w:lineRule="exac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本</w:t>
      </w:r>
      <w:r>
        <w:rPr>
          <w:rFonts w:hint="eastAsia" w:ascii="楷体" w:hAnsi="楷体" w:eastAsia="楷体" w:cs="楷体"/>
          <w:color w:val="000000" w:themeColor="text1"/>
          <w:sz w:val="24"/>
          <w:szCs w:val="24"/>
          <w:highlight w:val="none"/>
          <w:lang w:val="en-US" w:eastAsia="zh-CN"/>
          <w14:textFill>
            <w14:solidFill>
              <w14:schemeClr w14:val="tx1"/>
            </w14:solidFill>
          </w14:textFill>
        </w:rPr>
        <w:t>报价单</w:t>
      </w:r>
      <w:r>
        <w:rPr>
          <w:rFonts w:hint="eastAsia" w:ascii="楷体" w:hAnsi="楷体" w:eastAsia="楷体" w:cs="楷体"/>
          <w:color w:val="000000" w:themeColor="text1"/>
          <w:sz w:val="24"/>
          <w:szCs w:val="24"/>
          <w:highlight w:val="none"/>
          <w14:textFill>
            <w14:solidFill>
              <w14:schemeClr w14:val="tx1"/>
            </w14:solidFill>
          </w14:textFill>
        </w:rPr>
        <w:t>计价货币、结算货币和支付货币均为人民币。</w:t>
      </w:r>
    </w:p>
    <w:tbl>
      <w:tblPr>
        <w:tblStyle w:val="19"/>
        <w:tblpPr w:leftFromText="180" w:rightFromText="180" w:vertAnchor="text" w:horzAnchor="page" w:tblpXSpec="center" w:tblpY="236"/>
        <w:tblOverlap w:val="never"/>
        <w:tblW w:w="9617" w:type="dxa"/>
        <w:jc w:val="center"/>
        <w:tblLayout w:type="fixed"/>
        <w:tblCellMar>
          <w:top w:w="0" w:type="dxa"/>
          <w:left w:w="108" w:type="dxa"/>
          <w:bottom w:w="0" w:type="dxa"/>
          <w:right w:w="108" w:type="dxa"/>
        </w:tblCellMar>
      </w:tblPr>
      <w:tblGrid>
        <w:gridCol w:w="544"/>
        <w:gridCol w:w="1215"/>
        <w:gridCol w:w="3262"/>
        <w:gridCol w:w="2274"/>
        <w:gridCol w:w="1623"/>
        <w:gridCol w:w="699"/>
      </w:tblGrid>
      <w:tr w14:paraId="3BA3000D">
        <w:tblPrEx>
          <w:tblCellMar>
            <w:top w:w="0" w:type="dxa"/>
            <w:left w:w="108" w:type="dxa"/>
            <w:bottom w:w="0" w:type="dxa"/>
            <w:right w:w="108" w:type="dxa"/>
          </w:tblCellMar>
        </w:tblPrEx>
        <w:trPr>
          <w:trHeight w:val="628" w:hRule="atLeast"/>
          <w:jc w:val="center"/>
        </w:trPr>
        <w:tc>
          <w:tcPr>
            <w:tcW w:w="544" w:type="dxa"/>
            <w:tcBorders>
              <w:top w:val="single" w:color="000000" w:sz="4" w:space="0"/>
              <w:left w:val="single" w:color="000000" w:sz="4" w:space="0"/>
              <w:right w:val="single" w:color="000000" w:sz="4" w:space="0"/>
            </w:tcBorders>
            <w:vAlign w:val="center"/>
          </w:tcPr>
          <w:p w14:paraId="7E30D29A">
            <w:pPr>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序号</w:t>
            </w:r>
          </w:p>
        </w:tc>
        <w:tc>
          <w:tcPr>
            <w:tcW w:w="1215" w:type="dxa"/>
            <w:tcBorders>
              <w:top w:val="single" w:color="000000" w:sz="4" w:space="0"/>
              <w:left w:val="nil"/>
              <w:right w:val="single" w:color="000000" w:sz="4" w:space="0"/>
            </w:tcBorders>
            <w:vAlign w:val="center"/>
          </w:tcPr>
          <w:p w14:paraId="5841AA02">
            <w:pPr>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发货地</w:t>
            </w:r>
          </w:p>
        </w:tc>
        <w:tc>
          <w:tcPr>
            <w:tcW w:w="3262" w:type="dxa"/>
            <w:tcBorders>
              <w:top w:val="single" w:color="000000" w:sz="4" w:space="0"/>
              <w:left w:val="nil"/>
              <w:right w:val="single" w:color="000000" w:sz="4" w:space="0"/>
            </w:tcBorders>
            <w:vAlign w:val="center"/>
          </w:tcPr>
          <w:p w14:paraId="41C2DEA0">
            <w:pPr>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到货地</w:t>
            </w:r>
          </w:p>
        </w:tc>
        <w:tc>
          <w:tcPr>
            <w:tcW w:w="2274" w:type="dxa"/>
            <w:tcBorders>
              <w:top w:val="single" w:color="000000" w:sz="4" w:space="0"/>
              <w:left w:val="nil"/>
              <w:right w:val="single" w:color="000000" w:sz="4" w:space="0"/>
            </w:tcBorders>
            <w:vAlign w:val="center"/>
          </w:tcPr>
          <w:p w14:paraId="196E668A">
            <w:pPr>
              <w:jc w:val="center"/>
              <w:textAlignment w:val="center"/>
              <w:rPr>
                <w:rFonts w:hint="default" w:asciiTheme="majorEastAsia" w:hAnsiTheme="majorEastAsia" w:eastAsiaTheme="majorEastAsia" w:cstheme="majorEastAsia"/>
                <w:color w:val="000000" w:themeColor="text1"/>
                <w:kern w:val="0"/>
                <w:highlight w:val="none"/>
                <w:lang w:val="en-US" w:eastAsia="zh-CN"/>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船舶费用</w:t>
            </w:r>
            <w:r>
              <w:rPr>
                <w:rFonts w:hint="eastAsia" w:ascii="仿宋_GB2312" w:hAnsi="仿宋_GB2312" w:eastAsia="仿宋_GB2312" w:cs="仿宋_GB2312"/>
                <w:b w:val="0"/>
                <w:i w:val="0"/>
                <w:iCs w:val="0"/>
                <w:color w:val="000000"/>
                <w:kern w:val="0"/>
                <w:sz w:val="24"/>
                <w:szCs w:val="24"/>
                <w:u w:val="none"/>
                <w:lang w:val="en-US" w:eastAsia="zh-CN" w:bidi="ar"/>
              </w:rPr>
              <w:t>（元/吨）含税</w:t>
            </w:r>
          </w:p>
        </w:tc>
        <w:tc>
          <w:tcPr>
            <w:tcW w:w="1623" w:type="dxa"/>
            <w:tcBorders>
              <w:top w:val="single" w:color="000000" w:sz="4" w:space="0"/>
              <w:left w:val="nil"/>
              <w:bottom w:val="single" w:color="auto" w:sz="4" w:space="0"/>
              <w:right w:val="single" w:color="000000" w:sz="4" w:space="0"/>
            </w:tcBorders>
            <w:vAlign w:val="center"/>
          </w:tcPr>
          <w:p w14:paraId="128A6C76">
            <w:pPr>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包含港口</w:t>
            </w:r>
          </w:p>
        </w:tc>
        <w:tc>
          <w:tcPr>
            <w:tcW w:w="699" w:type="dxa"/>
            <w:tcBorders>
              <w:top w:val="single" w:color="000000" w:sz="4" w:space="0"/>
              <w:left w:val="nil"/>
              <w:bottom w:val="single" w:color="auto" w:sz="4" w:space="0"/>
              <w:right w:val="single" w:color="000000" w:sz="4" w:space="0"/>
            </w:tcBorders>
            <w:vAlign w:val="center"/>
          </w:tcPr>
          <w:p w14:paraId="52944F57">
            <w:pPr>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备注</w:t>
            </w:r>
          </w:p>
        </w:tc>
      </w:tr>
      <w:tr w14:paraId="78F60C0C">
        <w:tblPrEx>
          <w:tblCellMar>
            <w:top w:w="0" w:type="dxa"/>
            <w:left w:w="108" w:type="dxa"/>
            <w:bottom w:w="0" w:type="dxa"/>
            <w:right w:w="108" w:type="dxa"/>
          </w:tblCellMar>
        </w:tblPrEx>
        <w:trPr>
          <w:trHeight w:val="443"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60063F4E">
            <w:pPr>
              <w:widowControl/>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w:t>
            </w:r>
          </w:p>
        </w:tc>
        <w:tc>
          <w:tcPr>
            <w:tcW w:w="1215" w:type="dxa"/>
            <w:vMerge w:val="restart"/>
            <w:tcBorders>
              <w:top w:val="single" w:color="000000" w:sz="4" w:space="0"/>
              <w:left w:val="nil"/>
              <w:right w:val="single" w:color="000000" w:sz="4" w:space="0"/>
            </w:tcBorders>
            <w:vAlign w:val="center"/>
          </w:tcPr>
          <w:p w14:paraId="2094D43A">
            <w:pPr>
              <w:keepNext w:val="0"/>
              <w:keepLines w:val="0"/>
              <w:widowControl/>
              <w:suppressLineNumbers w:val="0"/>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海南洋浦</w:t>
            </w:r>
          </w:p>
        </w:tc>
        <w:tc>
          <w:tcPr>
            <w:tcW w:w="3262" w:type="dxa"/>
            <w:vMerge w:val="restart"/>
            <w:tcBorders>
              <w:top w:val="single" w:color="000000" w:sz="4" w:space="0"/>
              <w:left w:val="nil"/>
              <w:right w:val="single" w:color="000000" w:sz="4" w:space="0"/>
            </w:tcBorders>
            <w:vAlign w:val="center"/>
          </w:tcPr>
          <w:p w14:paraId="4645E077">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en-US"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广东</w:t>
            </w:r>
          </w:p>
        </w:tc>
        <w:tc>
          <w:tcPr>
            <w:tcW w:w="2274" w:type="dxa"/>
            <w:tcBorders>
              <w:top w:val="single" w:color="000000" w:sz="4" w:space="0"/>
              <w:left w:val="nil"/>
              <w:bottom w:val="single" w:color="000000" w:sz="4" w:space="0"/>
              <w:right w:val="single" w:color="auto" w:sz="4" w:space="0"/>
            </w:tcBorders>
            <w:noWrap/>
            <w:vAlign w:val="center"/>
          </w:tcPr>
          <w:p w14:paraId="5CEC2B63">
            <w:pPr>
              <w:jc w:val="cente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530FF12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佛山</w:t>
            </w:r>
          </w:p>
        </w:tc>
        <w:tc>
          <w:tcPr>
            <w:tcW w:w="699" w:type="dxa"/>
            <w:tcBorders>
              <w:top w:val="single" w:color="auto" w:sz="4" w:space="0"/>
              <w:left w:val="single" w:color="auto" w:sz="4" w:space="0"/>
              <w:bottom w:val="single" w:color="auto" w:sz="4" w:space="0"/>
              <w:right w:val="single" w:color="auto" w:sz="4" w:space="0"/>
            </w:tcBorders>
            <w:vAlign w:val="center"/>
          </w:tcPr>
          <w:p w14:paraId="06BEA912">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6268613B">
        <w:tblPrEx>
          <w:tblCellMar>
            <w:top w:w="0" w:type="dxa"/>
            <w:left w:w="108" w:type="dxa"/>
            <w:bottom w:w="0" w:type="dxa"/>
            <w:right w:w="108" w:type="dxa"/>
          </w:tblCellMar>
        </w:tblPrEx>
        <w:trPr>
          <w:trHeight w:val="432"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36610CBA">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w:t>
            </w:r>
          </w:p>
        </w:tc>
        <w:tc>
          <w:tcPr>
            <w:tcW w:w="1215" w:type="dxa"/>
            <w:vMerge w:val="continue"/>
            <w:tcBorders>
              <w:left w:val="nil"/>
              <w:right w:val="single" w:color="000000" w:sz="4" w:space="0"/>
            </w:tcBorders>
            <w:vAlign w:val="center"/>
          </w:tcPr>
          <w:p w14:paraId="5BC3A5B4">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0D94D9F6">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tcBorders>
              <w:top w:val="single" w:color="000000" w:sz="4" w:space="0"/>
              <w:left w:val="nil"/>
              <w:bottom w:val="single" w:color="000000" w:sz="4" w:space="0"/>
              <w:right w:val="single" w:color="auto" w:sz="4" w:space="0"/>
            </w:tcBorders>
            <w:noWrap/>
            <w:vAlign w:val="center"/>
          </w:tcPr>
          <w:p w14:paraId="3894F7CF">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509D7CB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茂名</w:t>
            </w:r>
          </w:p>
        </w:tc>
        <w:tc>
          <w:tcPr>
            <w:tcW w:w="699" w:type="dxa"/>
            <w:tcBorders>
              <w:top w:val="single" w:color="auto" w:sz="4" w:space="0"/>
              <w:left w:val="single" w:color="auto" w:sz="4" w:space="0"/>
              <w:bottom w:val="single" w:color="auto" w:sz="4" w:space="0"/>
              <w:right w:val="single" w:color="auto" w:sz="4" w:space="0"/>
            </w:tcBorders>
            <w:vAlign w:val="center"/>
          </w:tcPr>
          <w:p w14:paraId="0D84616C">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60C754D2">
        <w:tblPrEx>
          <w:tblCellMar>
            <w:top w:w="0" w:type="dxa"/>
            <w:left w:w="108" w:type="dxa"/>
            <w:bottom w:w="0" w:type="dxa"/>
            <w:right w:w="108" w:type="dxa"/>
          </w:tblCellMar>
        </w:tblPrEx>
        <w:trPr>
          <w:trHeight w:val="425"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5D88CE20">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3</w:t>
            </w:r>
          </w:p>
        </w:tc>
        <w:tc>
          <w:tcPr>
            <w:tcW w:w="1215" w:type="dxa"/>
            <w:vMerge w:val="continue"/>
            <w:tcBorders>
              <w:left w:val="nil"/>
              <w:right w:val="single" w:color="000000" w:sz="4" w:space="0"/>
            </w:tcBorders>
            <w:vAlign w:val="center"/>
          </w:tcPr>
          <w:p w14:paraId="0A73BFA3">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254829AF">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restart"/>
            <w:tcBorders>
              <w:top w:val="single" w:color="000000" w:sz="4" w:space="0"/>
              <w:left w:val="nil"/>
              <w:right w:val="single" w:color="auto" w:sz="4" w:space="0"/>
            </w:tcBorders>
            <w:noWrap/>
            <w:vAlign w:val="center"/>
          </w:tcPr>
          <w:p w14:paraId="57C035FF">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30F0BF9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广州</w:t>
            </w:r>
          </w:p>
        </w:tc>
        <w:tc>
          <w:tcPr>
            <w:tcW w:w="699" w:type="dxa"/>
            <w:tcBorders>
              <w:top w:val="single" w:color="auto" w:sz="4" w:space="0"/>
              <w:left w:val="single" w:color="auto" w:sz="4" w:space="0"/>
              <w:bottom w:val="single" w:color="auto" w:sz="4" w:space="0"/>
              <w:right w:val="single" w:color="auto" w:sz="4" w:space="0"/>
            </w:tcBorders>
            <w:vAlign w:val="center"/>
          </w:tcPr>
          <w:p w14:paraId="3D813A4F">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57BAB161">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6F8F2EFE">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4</w:t>
            </w:r>
          </w:p>
        </w:tc>
        <w:tc>
          <w:tcPr>
            <w:tcW w:w="1215" w:type="dxa"/>
            <w:vMerge w:val="continue"/>
            <w:tcBorders>
              <w:left w:val="nil"/>
              <w:right w:val="single" w:color="000000" w:sz="4" w:space="0"/>
            </w:tcBorders>
            <w:vAlign w:val="center"/>
          </w:tcPr>
          <w:p w14:paraId="2CEFD7F4">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3FDBE9C4">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continue"/>
            <w:tcBorders>
              <w:left w:val="nil"/>
              <w:right w:val="single" w:color="auto" w:sz="4" w:space="0"/>
            </w:tcBorders>
            <w:noWrap/>
            <w:vAlign w:val="center"/>
          </w:tcPr>
          <w:p w14:paraId="0E7826B5">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23CB3AE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南沙</w:t>
            </w:r>
          </w:p>
        </w:tc>
        <w:tc>
          <w:tcPr>
            <w:tcW w:w="699" w:type="dxa"/>
            <w:tcBorders>
              <w:top w:val="single" w:color="auto" w:sz="4" w:space="0"/>
              <w:left w:val="single" w:color="auto" w:sz="4" w:space="0"/>
              <w:bottom w:val="single" w:color="auto" w:sz="4" w:space="0"/>
              <w:right w:val="single" w:color="auto" w:sz="4" w:space="0"/>
            </w:tcBorders>
            <w:vAlign w:val="center"/>
          </w:tcPr>
          <w:p w14:paraId="1BA4D39D">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768C4A04">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22FBD9A4">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5</w:t>
            </w:r>
          </w:p>
        </w:tc>
        <w:tc>
          <w:tcPr>
            <w:tcW w:w="1215" w:type="dxa"/>
            <w:vMerge w:val="continue"/>
            <w:tcBorders>
              <w:left w:val="nil"/>
              <w:right w:val="single" w:color="000000" w:sz="4" w:space="0"/>
            </w:tcBorders>
            <w:vAlign w:val="center"/>
          </w:tcPr>
          <w:p w14:paraId="0BF6FA90">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bottom w:val="single" w:color="000000" w:sz="4" w:space="0"/>
              <w:right w:val="single" w:color="000000" w:sz="4" w:space="0"/>
            </w:tcBorders>
            <w:vAlign w:val="center"/>
          </w:tcPr>
          <w:p w14:paraId="57108969">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continue"/>
            <w:tcBorders>
              <w:left w:val="nil"/>
              <w:bottom w:val="single" w:color="000000" w:sz="4" w:space="0"/>
              <w:right w:val="single" w:color="auto" w:sz="4" w:space="0"/>
            </w:tcBorders>
            <w:noWrap/>
            <w:vAlign w:val="center"/>
          </w:tcPr>
          <w:p w14:paraId="39A75347">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3B01D9F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东莞</w:t>
            </w:r>
          </w:p>
        </w:tc>
        <w:tc>
          <w:tcPr>
            <w:tcW w:w="699" w:type="dxa"/>
            <w:tcBorders>
              <w:top w:val="single" w:color="auto" w:sz="4" w:space="0"/>
              <w:left w:val="single" w:color="auto" w:sz="4" w:space="0"/>
              <w:bottom w:val="single" w:color="auto" w:sz="4" w:space="0"/>
              <w:right w:val="single" w:color="auto" w:sz="4" w:space="0"/>
            </w:tcBorders>
            <w:vAlign w:val="center"/>
          </w:tcPr>
          <w:p w14:paraId="5F5A1AB9">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0AA105E4">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2A70048D">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6</w:t>
            </w:r>
          </w:p>
        </w:tc>
        <w:tc>
          <w:tcPr>
            <w:tcW w:w="1215" w:type="dxa"/>
            <w:vMerge w:val="continue"/>
            <w:tcBorders>
              <w:left w:val="nil"/>
              <w:right w:val="single" w:color="000000" w:sz="4" w:space="0"/>
            </w:tcBorders>
            <w:vAlign w:val="center"/>
          </w:tcPr>
          <w:p w14:paraId="1A91DD29">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restart"/>
            <w:tcBorders>
              <w:top w:val="single" w:color="000000" w:sz="4" w:space="0"/>
              <w:left w:val="nil"/>
              <w:right w:val="single" w:color="000000" w:sz="4" w:space="0"/>
            </w:tcBorders>
            <w:vAlign w:val="center"/>
          </w:tcPr>
          <w:p w14:paraId="261ADEBC">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广西</w:t>
            </w:r>
          </w:p>
        </w:tc>
        <w:tc>
          <w:tcPr>
            <w:tcW w:w="2274" w:type="dxa"/>
            <w:tcBorders>
              <w:top w:val="single" w:color="000000" w:sz="4" w:space="0"/>
              <w:left w:val="nil"/>
              <w:bottom w:val="single" w:color="000000" w:sz="4" w:space="0"/>
              <w:right w:val="single" w:color="auto" w:sz="4" w:space="0"/>
            </w:tcBorders>
            <w:noWrap/>
            <w:vAlign w:val="center"/>
          </w:tcPr>
          <w:p w14:paraId="39E1DCDC">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647CED1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钦州</w:t>
            </w:r>
          </w:p>
        </w:tc>
        <w:tc>
          <w:tcPr>
            <w:tcW w:w="699" w:type="dxa"/>
            <w:tcBorders>
              <w:top w:val="single" w:color="auto" w:sz="4" w:space="0"/>
              <w:left w:val="single" w:color="auto" w:sz="4" w:space="0"/>
              <w:bottom w:val="single" w:color="auto" w:sz="4" w:space="0"/>
              <w:right w:val="single" w:color="auto" w:sz="4" w:space="0"/>
            </w:tcBorders>
            <w:vAlign w:val="center"/>
          </w:tcPr>
          <w:p w14:paraId="7284CE7C">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2FD1EA17">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3F5FC9B3">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7</w:t>
            </w:r>
          </w:p>
        </w:tc>
        <w:tc>
          <w:tcPr>
            <w:tcW w:w="1215" w:type="dxa"/>
            <w:vMerge w:val="continue"/>
            <w:tcBorders>
              <w:left w:val="nil"/>
              <w:right w:val="single" w:color="000000" w:sz="4" w:space="0"/>
            </w:tcBorders>
            <w:vAlign w:val="center"/>
          </w:tcPr>
          <w:p w14:paraId="25D3030C">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68F2384E">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tcBorders>
              <w:top w:val="single" w:color="000000" w:sz="4" w:space="0"/>
              <w:left w:val="nil"/>
              <w:bottom w:val="single" w:color="000000" w:sz="4" w:space="0"/>
              <w:right w:val="single" w:color="auto" w:sz="4" w:space="0"/>
            </w:tcBorders>
            <w:noWrap/>
            <w:vAlign w:val="center"/>
          </w:tcPr>
          <w:p w14:paraId="3614EB92">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3A35845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北海</w:t>
            </w:r>
          </w:p>
        </w:tc>
        <w:tc>
          <w:tcPr>
            <w:tcW w:w="699" w:type="dxa"/>
            <w:tcBorders>
              <w:top w:val="single" w:color="auto" w:sz="4" w:space="0"/>
              <w:left w:val="single" w:color="auto" w:sz="4" w:space="0"/>
              <w:bottom w:val="single" w:color="auto" w:sz="4" w:space="0"/>
              <w:right w:val="single" w:color="auto" w:sz="4" w:space="0"/>
            </w:tcBorders>
            <w:vAlign w:val="center"/>
          </w:tcPr>
          <w:p w14:paraId="66849C40">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737CFCAE">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0E261183">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8</w:t>
            </w:r>
          </w:p>
        </w:tc>
        <w:tc>
          <w:tcPr>
            <w:tcW w:w="1215" w:type="dxa"/>
            <w:vMerge w:val="continue"/>
            <w:tcBorders>
              <w:left w:val="nil"/>
              <w:right w:val="single" w:color="000000" w:sz="4" w:space="0"/>
            </w:tcBorders>
            <w:vAlign w:val="center"/>
          </w:tcPr>
          <w:p w14:paraId="2CE14536">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bottom w:val="single" w:color="000000" w:sz="4" w:space="0"/>
              <w:right w:val="single" w:color="000000" w:sz="4" w:space="0"/>
            </w:tcBorders>
            <w:vAlign w:val="center"/>
          </w:tcPr>
          <w:p w14:paraId="41DD92A7">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tcBorders>
              <w:top w:val="single" w:color="000000" w:sz="4" w:space="0"/>
              <w:left w:val="nil"/>
              <w:bottom w:val="single" w:color="000000" w:sz="4" w:space="0"/>
              <w:right w:val="single" w:color="auto" w:sz="4" w:space="0"/>
            </w:tcBorders>
            <w:noWrap/>
            <w:vAlign w:val="center"/>
          </w:tcPr>
          <w:p w14:paraId="4844AD18">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12D4842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防城港</w:t>
            </w:r>
          </w:p>
        </w:tc>
        <w:tc>
          <w:tcPr>
            <w:tcW w:w="699" w:type="dxa"/>
            <w:tcBorders>
              <w:top w:val="single" w:color="auto" w:sz="4" w:space="0"/>
              <w:left w:val="single" w:color="auto" w:sz="4" w:space="0"/>
              <w:bottom w:val="single" w:color="auto" w:sz="4" w:space="0"/>
              <w:right w:val="single" w:color="auto" w:sz="4" w:space="0"/>
            </w:tcBorders>
            <w:vAlign w:val="center"/>
          </w:tcPr>
          <w:p w14:paraId="6BC02AD3">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13CE1820">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2FE89CA4">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9</w:t>
            </w:r>
          </w:p>
        </w:tc>
        <w:tc>
          <w:tcPr>
            <w:tcW w:w="1215" w:type="dxa"/>
            <w:vMerge w:val="continue"/>
            <w:tcBorders>
              <w:left w:val="nil"/>
              <w:right w:val="single" w:color="000000" w:sz="4" w:space="0"/>
            </w:tcBorders>
            <w:vAlign w:val="center"/>
          </w:tcPr>
          <w:p w14:paraId="14FCB26B">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restart"/>
            <w:tcBorders>
              <w:top w:val="single" w:color="000000" w:sz="4" w:space="0"/>
              <w:left w:val="nil"/>
              <w:right w:val="single" w:color="000000" w:sz="4" w:space="0"/>
            </w:tcBorders>
            <w:vAlign w:val="center"/>
          </w:tcPr>
          <w:p w14:paraId="1501273D">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福建</w:t>
            </w:r>
          </w:p>
        </w:tc>
        <w:tc>
          <w:tcPr>
            <w:tcW w:w="2274" w:type="dxa"/>
            <w:vMerge w:val="restart"/>
            <w:tcBorders>
              <w:top w:val="single" w:color="000000" w:sz="4" w:space="0"/>
              <w:left w:val="nil"/>
              <w:right w:val="single" w:color="auto" w:sz="4" w:space="0"/>
            </w:tcBorders>
            <w:noWrap/>
            <w:vAlign w:val="center"/>
          </w:tcPr>
          <w:p w14:paraId="11287FE7">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6E61E0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厦门</w:t>
            </w:r>
          </w:p>
        </w:tc>
        <w:tc>
          <w:tcPr>
            <w:tcW w:w="699" w:type="dxa"/>
            <w:tcBorders>
              <w:top w:val="single" w:color="auto" w:sz="4" w:space="0"/>
              <w:left w:val="single" w:color="auto" w:sz="4" w:space="0"/>
              <w:bottom w:val="single" w:color="auto" w:sz="4" w:space="0"/>
              <w:right w:val="single" w:color="auto" w:sz="4" w:space="0"/>
            </w:tcBorders>
            <w:vAlign w:val="center"/>
          </w:tcPr>
          <w:p w14:paraId="0CF36406">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4AAB0731">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44276D20">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10</w:t>
            </w:r>
          </w:p>
        </w:tc>
        <w:tc>
          <w:tcPr>
            <w:tcW w:w="1215" w:type="dxa"/>
            <w:vMerge w:val="continue"/>
            <w:tcBorders>
              <w:left w:val="nil"/>
              <w:right w:val="single" w:color="000000" w:sz="4" w:space="0"/>
            </w:tcBorders>
            <w:vAlign w:val="center"/>
          </w:tcPr>
          <w:p w14:paraId="4F52C3F9">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1101DCB9">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continue"/>
            <w:tcBorders>
              <w:left w:val="nil"/>
              <w:bottom w:val="single" w:color="000000" w:sz="4" w:space="0"/>
              <w:right w:val="single" w:color="auto" w:sz="4" w:space="0"/>
            </w:tcBorders>
            <w:noWrap/>
            <w:vAlign w:val="center"/>
          </w:tcPr>
          <w:p w14:paraId="1B810BFB">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7063EF3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漳州</w:t>
            </w:r>
          </w:p>
        </w:tc>
        <w:tc>
          <w:tcPr>
            <w:tcW w:w="699" w:type="dxa"/>
            <w:tcBorders>
              <w:top w:val="single" w:color="auto" w:sz="4" w:space="0"/>
              <w:left w:val="single" w:color="auto" w:sz="4" w:space="0"/>
              <w:bottom w:val="single" w:color="auto" w:sz="4" w:space="0"/>
              <w:right w:val="single" w:color="auto" w:sz="4" w:space="0"/>
            </w:tcBorders>
            <w:vAlign w:val="center"/>
          </w:tcPr>
          <w:p w14:paraId="139721D8">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27D4B29A">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3E21C0C4">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11</w:t>
            </w:r>
          </w:p>
        </w:tc>
        <w:tc>
          <w:tcPr>
            <w:tcW w:w="1215" w:type="dxa"/>
            <w:vMerge w:val="continue"/>
            <w:tcBorders>
              <w:left w:val="nil"/>
              <w:right w:val="single" w:color="000000" w:sz="4" w:space="0"/>
            </w:tcBorders>
            <w:vAlign w:val="center"/>
          </w:tcPr>
          <w:p w14:paraId="57B263A8">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629C035D">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restart"/>
            <w:tcBorders>
              <w:top w:val="single" w:color="000000" w:sz="4" w:space="0"/>
              <w:left w:val="nil"/>
              <w:right w:val="single" w:color="auto" w:sz="4" w:space="0"/>
            </w:tcBorders>
            <w:noWrap/>
            <w:vAlign w:val="center"/>
          </w:tcPr>
          <w:p w14:paraId="52F94A58">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3E09A41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江阴</w:t>
            </w:r>
          </w:p>
        </w:tc>
        <w:tc>
          <w:tcPr>
            <w:tcW w:w="699" w:type="dxa"/>
            <w:tcBorders>
              <w:top w:val="single" w:color="auto" w:sz="4" w:space="0"/>
              <w:left w:val="single" w:color="auto" w:sz="4" w:space="0"/>
              <w:bottom w:val="single" w:color="auto" w:sz="4" w:space="0"/>
              <w:right w:val="single" w:color="auto" w:sz="4" w:space="0"/>
            </w:tcBorders>
            <w:vAlign w:val="center"/>
          </w:tcPr>
          <w:p w14:paraId="6B87A2BD">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4E1088A7">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0736D691">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12</w:t>
            </w:r>
          </w:p>
        </w:tc>
        <w:tc>
          <w:tcPr>
            <w:tcW w:w="1215" w:type="dxa"/>
            <w:vMerge w:val="continue"/>
            <w:tcBorders>
              <w:left w:val="nil"/>
              <w:right w:val="single" w:color="000000" w:sz="4" w:space="0"/>
            </w:tcBorders>
            <w:vAlign w:val="center"/>
          </w:tcPr>
          <w:p w14:paraId="3E989706">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6ABA06F1">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continue"/>
            <w:tcBorders>
              <w:left w:val="nil"/>
              <w:right w:val="single" w:color="auto" w:sz="4" w:space="0"/>
            </w:tcBorders>
            <w:noWrap/>
            <w:vAlign w:val="center"/>
          </w:tcPr>
          <w:p w14:paraId="639C78E8">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10CBAC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莆田</w:t>
            </w:r>
          </w:p>
        </w:tc>
        <w:tc>
          <w:tcPr>
            <w:tcW w:w="699" w:type="dxa"/>
            <w:tcBorders>
              <w:top w:val="single" w:color="auto" w:sz="4" w:space="0"/>
              <w:left w:val="single" w:color="auto" w:sz="4" w:space="0"/>
              <w:bottom w:val="single" w:color="auto" w:sz="4" w:space="0"/>
              <w:right w:val="single" w:color="auto" w:sz="4" w:space="0"/>
            </w:tcBorders>
            <w:vAlign w:val="center"/>
          </w:tcPr>
          <w:p w14:paraId="6E1F850B">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05C23D95">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5099554B">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13</w:t>
            </w:r>
          </w:p>
        </w:tc>
        <w:tc>
          <w:tcPr>
            <w:tcW w:w="1215" w:type="dxa"/>
            <w:vMerge w:val="continue"/>
            <w:tcBorders>
              <w:left w:val="nil"/>
              <w:right w:val="single" w:color="000000" w:sz="4" w:space="0"/>
            </w:tcBorders>
            <w:vAlign w:val="center"/>
          </w:tcPr>
          <w:p w14:paraId="7296C885">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bottom w:val="single" w:color="000000" w:sz="4" w:space="0"/>
              <w:right w:val="single" w:color="000000" w:sz="4" w:space="0"/>
            </w:tcBorders>
            <w:vAlign w:val="center"/>
          </w:tcPr>
          <w:p w14:paraId="12CDFB1B">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continue"/>
            <w:tcBorders>
              <w:left w:val="nil"/>
              <w:bottom w:val="single" w:color="000000" w:sz="4" w:space="0"/>
              <w:right w:val="single" w:color="auto" w:sz="4" w:space="0"/>
            </w:tcBorders>
            <w:noWrap/>
            <w:vAlign w:val="center"/>
          </w:tcPr>
          <w:p w14:paraId="42D20B2B">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70095A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泉州</w:t>
            </w:r>
          </w:p>
        </w:tc>
        <w:tc>
          <w:tcPr>
            <w:tcW w:w="699" w:type="dxa"/>
            <w:tcBorders>
              <w:top w:val="single" w:color="auto" w:sz="4" w:space="0"/>
              <w:left w:val="single" w:color="auto" w:sz="4" w:space="0"/>
              <w:bottom w:val="single" w:color="auto" w:sz="4" w:space="0"/>
              <w:right w:val="single" w:color="auto" w:sz="4" w:space="0"/>
            </w:tcBorders>
            <w:vAlign w:val="center"/>
          </w:tcPr>
          <w:p w14:paraId="39661BF7">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07D27EFB">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0FE586C1">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14</w:t>
            </w:r>
          </w:p>
        </w:tc>
        <w:tc>
          <w:tcPr>
            <w:tcW w:w="1215" w:type="dxa"/>
            <w:vMerge w:val="continue"/>
            <w:tcBorders>
              <w:left w:val="nil"/>
              <w:right w:val="single" w:color="000000" w:sz="4" w:space="0"/>
            </w:tcBorders>
            <w:vAlign w:val="center"/>
          </w:tcPr>
          <w:p w14:paraId="593C1ED1">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restart"/>
            <w:tcBorders>
              <w:top w:val="single" w:color="000000" w:sz="4" w:space="0"/>
              <w:left w:val="nil"/>
              <w:right w:val="single" w:color="000000" w:sz="4" w:space="0"/>
            </w:tcBorders>
            <w:vAlign w:val="center"/>
          </w:tcPr>
          <w:p w14:paraId="0196D547">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浙江</w:t>
            </w:r>
          </w:p>
        </w:tc>
        <w:tc>
          <w:tcPr>
            <w:tcW w:w="2274" w:type="dxa"/>
            <w:vMerge w:val="restart"/>
            <w:tcBorders>
              <w:top w:val="single" w:color="000000" w:sz="4" w:space="0"/>
              <w:left w:val="nil"/>
              <w:right w:val="single" w:color="auto" w:sz="4" w:space="0"/>
            </w:tcBorders>
            <w:noWrap/>
            <w:vAlign w:val="center"/>
          </w:tcPr>
          <w:p w14:paraId="44A85BBA">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647AD5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台州</w:t>
            </w:r>
          </w:p>
        </w:tc>
        <w:tc>
          <w:tcPr>
            <w:tcW w:w="699" w:type="dxa"/>
            <w:tcBorders>
              <w:top w:val="single" w:color="auto" w:sz="4" w:space="0"/>
              <w:left w:val="single" w:color="auto" w:sz="4" w:space="0"/>
              <w:bottom w:val="single" w:color="auto" w:sz="4" w:space="0"/>
              <w:right w:val="single" w:color="auto" w:sz="4" w:space="0"/>
            </w:tcBorders>
            <w:vAlign w:val="center"/>
          </w:tcPr>
          <w:p w14:paraId="718D5C17">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568BEE17">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7A51C81A">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15</w:t>
            </w:r>
          </w:p>
        </w:tc>
        <w:tc>
          <w:tcPr>
            <w:tcW w:w="1215" w:type="dxa"/>
            <w:vMerge w:val="continue"/>
            <w:tcBorders>
              <w:left w:val="nil"/>
              <w:right w:val="single" w:color="000000" w:sz="4" w:space="0"/>
            </w:tcBorders>
            <w:vAlign w:val="center"/>
          </w:tcPr>
          <w:p w14:paraId="43083B4C">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45161E5E">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continue"/>
            <w:tcBorders>
              <w:left w:val="nil"/>
              <w:bottom w:val="single" w:color="000000" w:sz="4" w:space="0"/>
              <w:right w:val="single" w:color="auto" w:sz="4" w:space="0"/>
            </w:tcBorders>
            <w:noWrap/>
            <w:vAlign w:val="center"/>
          </w:tcPr>
          <w:p w14:paraId="50400B23">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091F6A9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温州</w:t>
            </w:r>
          </w:p>
        </w:tc>
        <w:tc>
          <w:tcPr>
            <w:tcW w:w="699" w:type="dxa"/>
            <w:tcBorders>
              <w:top w:val="single" w:color="auto" w:sz="4" w:space="0"/>
              <w:left w:val="single" w:color="auto" w:sz="4" w:space="0"/>
              <w:bottom w:val="single" w:color="auto" w:sz="4" w:space="0"/>
              <w:right w:val="single" w:color="auto" w:sz="4" w:space="0"/>
            </w:tcBorders>
            <w:vAlign w:val="center"/>
          </w:tcPr>
          <w:p w14:paraId="79F1F1A5">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314C569A">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7A8BC49C">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16</w:t>
            </w:r>
          </w:p>
        </w:tc>
        <w:tc>
          <w:tcPr>
            <w:tcW w:w="1215" w:type="dxa"/>
            <w:vMerge w:val="continue"/>
            <w:tcBorders>
              <w:left w:val="nil"/>
              <w:right w:val="single" w:color="000000" w:sz="4" w:space="0"/>
            </w:tcBorders>
            <w:vAlign w:val="center"/>
          </w:tcPr>
          <w:p w14:paraId="12B4840F">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71F2B22A">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restart"/>
            <w:tcBorders>
              <w:top w:val="single" w:color="000000" w:sz="4" w:space="0"/>
              <w:left w:val="nil"/>
              <w:right w:val="single" w:color="auto" w:sz="4" w:space="0"/>
            </w:tcBorders>
            <w:noWrap/>
            <w:vAlign w:val="center"/>
          </w:tcPr>
          <w:p w14:paraId="7942CD56">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797A56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乍浦</w:t>
            </w:r>
          </w:p>
        </w:tc>
        <w:tc>
          <w:tcPr>
            <w:tcW w:w="699" w:type="dxa"/>
            <w:tcBorders>
              <w:top w:val="single" w:color="auto" w:sz="4" w:space="0"/>
              <w:left w:val="single" w:color="auto" w:sz="4" w:space="0"/>
              <w:bottom w:val="single" w:color="auto" w:sz="4" w:space="0"/>
              <w:right w:val="single" w:color="auto" w:sz="4" w:space="0"/>
            </w:tcBorders>
            <w:vAlign w:val="center"/>
          </w:tcPr>
          <w:p w14:paraId="786007D3">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3B940552">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5287B81A">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17</w:t>
            </w:r>
          </w:p>
        </w:tc>
        <w:tc>
          <w:tcPr>
            <w:tcW w:w="1215" w:type="dxa"/>
            <w:vMerge w:val="continue"/>
            <w:tcBorders>
              <w:left w:val="nil"/>
              <w:right w:val="single" w:color="000000" w:sz="4" w:space="0"/>
            </w:tcBorders>
            <w:vAlign w:val="center"/>
          </w:tcPr>
          <w:p w14:paraId="2F693D4A">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552D7FFA">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continue"/>
            <w:tcBorders>
              <w:left w:val="nil"/>
              <w:right w:val="single" w:color="auto" w:sz="4" w:space="0"/>
            </w:tcBorders>
            <w:noWrap/>
            <w:vAlign w:val="center"/>
          </w:tcPr>
          <w:p w14:paraId="750B76F9">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17F567A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宁波</w:t>
            </w:r>
          </w:p>
        </w:tc>
        <w:tc>
          <w:tcPr>
            <w:tcW w:w="699" w:type="dxa"/>
            <w:tcBorders>
              <w:top w:val="single" w:color="auto" w:sz="4" w:space="0"/>
              <w:left w:val="single" w:color="auto" w:sz="4" w:space="0"/>
              <w:bottom w:val="single" w:color="auto" w:sz="4" w:space="0"/>
              <w:right w:val="single" w:color="auto" w:sz="4" w:space="0"/>
            </w:tcBorders>
            <w:vAlign w:val="center"/>
          </w:tcPr>
          <w:p w14:paraId="1B9C9942">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045D39B5">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29F82D08">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18</w:t>
            </w:r>
          </w:p>
        </w:tc>
        <w:tc>
          <w:tcPr>
            <w:tcW w:w="1215" w:type="dxa"/>
            <w:vMerge w:val="continue"/>
            <w:tcBorders>
              <w:left w:val="nil"/>
              <w:right w:val="single" w:color="000000" w:sz="4" w:space="0"/>
            </w:tcBorders>
            <w:vAlign w:val="center"/>
          </w:tcPr>
          <w:p w14:paraId="43C77E64">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bottom w:val="single" w:color="000000" w:sz="4" w:space="0"/>
              <w:right w:val="single" w:color="000000" w:sz="4" w:space="0"/>
            </w:tcBorders>
            <w:vAlign w:val="center"/>
          </w:tcPr>
          <w:p w14:paraId="298BD27E">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continue"/>
            <w:tcBorders>
              <w:left w:val="nil"/>
              <w:bottom w:val="single" w:color="000000" w:sz="4" w:space="0"/>
              <w:right w:val="single" w:color="auto" w:sz="4" w:space="0"/>
            </w:tcBorders>
            <w:noWrap/>
            <w:vAlign w:val="center"/>
          </w:tcPr>
          <w:p w14:paraId="36BE56D9">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598643C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舟山</w:t>
            </w:r>
          </w:p>
        </w:tc>
        <w:tc>
          <w:tcPr>
            <w:tcW w:w="699" w:type="dxa"/>
            <w:tcBorders>
              <w:top w:val="single" w:color="auto" w:sz="4" w:space="0"/>
              <w:left w:val="single" w:color="auto" w:sz="4" w:space="0"/>
              <w:bottom w:val="single" w:color="auto" w:sz="4" w:space="0"/>
              <w:right w:val="single" w:color="auto" w:sz="4" w:space="0"/>
            </w:tcBorders>
            <w:vAlign w:val="center"/>
          </w:tcPr>
          <w:p w14:paraId="0CC0FE5E">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7A5FED82">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49E71F2D">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19</w:t>
            </w:r>
          </w:p>
        </w:tc>
        <w:tc>
          <w:tcPr>
            <w:tcW w:w="1215" w:type="dxa"/>
            <w:vMerge w:val="continue"/>
            <w:tcBorders>
              <w:left w:val="nil"/>
              <w:right w:val="single" w:color="000000" w:sz="4" w:space="0"/>
            </w:tcBorders>
            <w:vAlign w:val="center"/>
          </w:tcPr>
          <w:p w14:paraId="137CFE59">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restart"/>
            <w:tcBorders>
              <w:top w:val="single" w:color="000000" w:sz="4" w:space="0"/>
              <w:left w:val="nil"/>
              <w:right w:val="single" w:color="000000" w:sz="4" w:space="0"/>
            </w:tcBorders>
            <w:vAlign w:val="center"/>
          </w:tcPr>
          <w:p w14:paraId="5CE24726">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江苏</w:t>
            </w:r>
          </w:p>
        </w:tc>
        <w:tc>
          <w:tcPr>
            <w:tcW w:w="2274" w:type="dxa"/>
            <w:vMerge w:val="restart"/>
            <w:tcBorders>
              <w:top w:val="single" w:color="000000" w:sz="4" w:space="0"/>
              <w:left w:val="nil"/>
              <w:right w:val="single" w:color="auto" w:sz="4" w:space="0"/>
            </w:tcBorders>
            <w:noWrap/>
            <w:vAlign w:val="center"/>
          </w:tcPr>
          <w:p w14:paraId="2112A245">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67FADC1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镇江</w:t>
            </w:r>
          </w:p>
        </w:tc>
        <w:tc>
          <w:tcPr>
            <w:tcW w:w="699" w:type="dxa"/>
            <w:tcBorders>
              <w:top w:val="single" w:color="auto" w:sz="4" w:space="0"/>
              <w:left w:val="single" w:color="auto" w:sz="4" w:space="0"/>
              <w:bottom w:val="single" w:color="auto" w:sz="4" w:space="0"/>
              <w:right w:val="single" w:color="auto" w:sz="4" w:space="0"/>
            </w:tcBorders>
            <w:vAlign w:val="center"/>
          </w:tcPr>
          <w:p w14:paraId="1BD52544">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5CFB8C99">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79F493D1">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20</w:t>
            </w:r>
          </w:p>
        </w:tc>
        <w:tc>
          <w:tcPr>
            <w:tcW w:w="1215" w:type="dxa"/>
            <w:vMerge w:val="continue"/>
            <w:tcBorders>
              <w:left w:val="nil"/>
              <w:right w:val="single" w:color="000000" w:sz="4" w:space="0"/>
            </w:tcBorders>
            <w:vAlign w:val="center"/>
          </w:tcPr>
          <w:p w14:paraId="3490A247">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11957854">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continue"/>
            <w:tcBorders>
              <w:left w:val="nil"/>
              <w:bottom w:val="single" w:color="000000" w:sz="4" w:space="0"/>
              <w:right w:val="single" w:color="auto" w:sz="4" w:space="0"/>
            </w:tcBorders>
            <w:noWrap/>
            <w:vAlign w:val="center"/>
          </w:tcPr>
          <w:p w14:paraId="0C285FD3">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50F5902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南京</w:t>
            </w:r>
          </w:p>
        </w:tc>
        <w:tc>
          <w:tcPr>
            <w:tcW w:w="699" w:type="dxa"/>
            <w:tcBorders>
              <w:top w:val="single" w:color="auto" w:sz="4" w:space="0"/>
              <w:left w:val="single" w:color="auto" w:sz="4" w:space="0"/>
              <w:bottom w:val="single" w:color="auto" w:sz="4" w:space="0"/>
              <w:right w:val="single" w:color="auto" w:sz="4" w:space="0"/>
            </w:tcBorders>
            <w:vAlign w:val="center"/>
          </w:tcPr>
          <w:p w14:paraId="6FA210D3">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27D9ECE1">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70D55C28">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21</w:t>
            </w:r>
          </w:p>
        </w:tc>
        <w:tc>
          <w:tcPr>
            <w:tcW w:w="1215" w:type="dxa"/>
            <w:vMerge w:val="continue"/>
            <w:tcBorders>
              <w:left w:val="nil"/>
              <w:right w:val="single" w:color="000000" w:sz="4" w:space="0"/>
            </w:tcBorders>
            <w:vAlign w:val="center"/>
          </w:tcPr>
          <w:p w14:paraId="34426444">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69E551F1">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restart"/>
            <w:tcBorders>
              <w:top w:val="single" w:color="000000" w:sz="4" w:space="0"/>
              <w:left w:val="nil"/>
              <w:right w:val="single" w:color="auto" w:sz="4" w:space="0"/>
            </w:tcBorders>
            <w:noWrap/>
            <w:vAlign w:val="center"/>
          </w:tcPr>
          <w:p w14:paraId="07613391">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70C7BA8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南通</w:t>
            </w:r>
          </w:p>
        </w:tc>
        <w:tc>
          <w:tcPr>
            <w:tcW w:w="699" w:type="dxa"/>
            <w:tcBorders>
              <w:top w:val="single" w:color="auto" w:sz="4" w:space="0"/>
              <w:left w:val="single" w:color="auto" w:sz="4" w:space="0"/>
              <w:bottom w:val="single" w:color="auto" w:sz="4" w:space="0"/>
              <w:right w:val="single" w:color="auto" w:sz="4" w:space="0"/>
            </w:tcBorders>
            <w:vAlign w:val="center"/>
          </w:tcPr>
          <w:p w14:paraId="0A9762D8">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6F5F1199">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6D3F2BE3">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22</w:t>
            </w:r>
          </w:p>
        </w:tc>
        <w:tc>
          <w:tcPr>
            <w:tcW w:w="1215" w:type="dxa"/>
            <w:vMerge w:val="continue"/>
            <w:tcBorders>
              <w:left w:val="nil"/>
              <w:right w:val="single" w:color="000000" w:sz="4" w:space="0"/>
            </w:tcBorders>
            <w:vAlign w:val="center"/>
          </w:tcPr>
          <w:p w14:paraId="75C760F3">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bottom w:val="single" w:color="000000" w:sz="4" w:space="0"/>
              <w:right w:val="single" w:color="000000" w:sz="4" w:space="0"/>
            </w:tcBorders>
            <w:vAlign w:val="center"/>
          </w:tcPr>
          <w:p w14:paraId="4D5928A0">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continue"/>
            <w:tcBorders>
              <w:left w:val="nil"/>
              <w:bottom w:val="single" w:color="000000" w:sz="4" w:space="0"/>
              <w:right w:val="single" w:color="auto" w:sz="4" w:space="0"/>
            </w:tcBorders>
            <w:noWrap/>
            <w:vAlign w:val="center"/>
          </w:tcPr>
          <w:p w14:paraId="786FEE30">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73E460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无锡</w:t>
            </w:r>
          </w:p>
        </w:tc>
        <w:tc>
          <w:tcPr>
            <w:tcW w:w="699" w:type="dxa"/>
            <w:tcBorders>
              <w:top w:val="single" w:color="auto" w:sz="4" w:space="0"/>
              <w:left w:val="single" w:color="auto" w:sz="4" w:space="0"/>
              <w:bottom w:val="single" w:color="auto" w:sz="4" w:space="0"/>
              <w:right w:val="single" w:color="auto" w:sz="4" w:space="0"/>
            </w:tcBorders>
            <w:vAlign w:val="center"/>
          </w:tcPr>
          <w:p w14:paraId="77CBD055">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1321A70D">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09D08E5B">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23</w:t>
            </w:r>
          </w:p>
        </w:tc>
        <w:tc>
          <w:tcPr>
            <w:tcW w:w="1215" w:type="dxa"/>
            <w:vMerge w:val="continue"/>
            <w:tcBorders>
              <w:left w:val="nil"/>
              <w:right w:val="single" w:color="000000" w:sz="4" w:space="0"/>
            </w:tcBorders>
            <w:vAlign w:val="center"/>
          </w:tcPr>
          <w:p w14:paraId="6FE0351E">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restart"/>
            <w:tcBorders>
              <w:top w:val="single" w:color="000000" w:sz="4" w:space="0"/>
              <w:left w:val="nil"/>
              <w:right w:val="single" w:color="000000" w:sz="4" w:space="0"/>
            </w:tcBorders>
            <w:vAlign w:val="center"/>
          </w:tcPr>
          <w:p w14:paraId="0EB186B8">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山东</w:t>
            </w:r>
          </w:p>
        </w:tc>
        <w:tc>
          <w:tcPr>
            <w:tcW w:w="2274" w:type="dxa"/>
            <w:vMerge w:val="restart"/>
            <w:tcBorders>
              <w:top w:val="single" w:color="000000" w:sz="4" w:space="0"/>
              <w:left w:val="nil"/>
              <w:right w:val="single" w:color="auto" w:sz="4" w:space="0"/>
            </w:tcBorders>
            <w:noWrap/>
            <w:vAlign w:val="center"/>
          </w:tcPr>
          <w:p w14:paraId="08D66313">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38BB7B1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日照</w:t>
            </w:r>
          </w:p>
        </w:tc>
        <w:tc>
          <w:tcPr>
            <w:tcW w:w="699" w:type="dxa"/>
            <w:tcBorders>
              <w:top w:val="single" w:color="auto" w:sz="4" w:space="0"/>
              <w:left w:val="single" w:color="auto" w:sz="4" w:space="0"/>
              <w:bottom w:val="single" w:color="auto" w:sz="4" w:space="0"/>
              <w:right w:val="single" w:color="auto" w:sz="4" w:space="0"/>
            </w:tcBorders>
            <w:vAlign w:val="center"/>
          </w:tcPr>
          <w:p w14:paraId="749266B5">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1AA8FD70">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49C17950">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24</w:t>
            </w:r>
          </w:p>
        </w:tc>
        <w:tc>
          <w:tcPr>
            <w:tcW w:w="1215" w:type="dxa"/>
            <w:vMerge w:val="continue"/>
            <w:tcBorders>
              <w:left w:val="nil"/>
              <w:right w:val="single" w:color="000000" w:sz="4" w:space="0"/>
            </w:tcBorders>
            <w:vAlign w:val="center"/>
          </w:tcPr>
          <w:p w14:paraId="1E3030CC">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017EEC9B">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continue"/>
            <w:tcBorders>
              <w:left w:val="nil"/>
              <w:bottom w:val="single" w:color="000000" w:sz="4" w:space="0"/>
              <w:right w:val="single" w:color="auto" w:sz="4" w:space="0"/>
            </w:tcBorders>
            <w:noWrap/>
            <w:vAlign w:val="center"/>
          </w:tcPr>
          <w:p w14:paraId="42E69452">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6431704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青岛</w:t>
            </w:r>
          </w:p>
        </w:tc>
        <w:tc>
          <w:tcPr>
            <w:tcW w:w="699" w:type="dxa"/>
            <w:tcBorders>
              <w:top w:val="single" w:color="auto" w:sz="4" w:space="0"/>
              <w:left w:val="single" w:color="auto" w:sz="4" w:space="0"/>
              <w:bottom w:val="single" w:color="auto" w:sz="4" w:space="0"/>
              <w:right w:val="single" w:color="auto" w:sz="4" w:space="0"/>
            </w:tcBorders>
            <w:vAlign w:val="center"/>
          </w:tcPr>
          <w:p w14:paraId="338ED216">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234C522F">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007392D4">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25</w:t>
            </w:r>
          </w:p>
        </w:tc>
        <w:tc>
          <w:tcPr>
            <w:tcW w:w="1215" w:type="dxa"/>
            <w:vMerge w:val="continue"/>
            <w:tcBorders>
              <w:left w:val="nil"/>
              <w:right w:val="single" w:color="000000" w:sz="4" w:space="0"/>
            </w:tcBorders>
            <w:vAlign w:val="center"/>
          </w:tcPr>
          <w:p w14:paraId="1AAA7FFA">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1142E348">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restart"/>
            <w:tcBorders>
              <w:top w:val="single" w:color="000000" w:sz="4" w:space="0"/>
              <w:left w:val="nil"/>
              <w:right w:val="single" w:color="auto" w:sz="4" w:space="0"/>
            </w:tcBorders>
            <w:noWrap/>
            <w:vAlign w:val="center"/>
          </w:tcPr>
          <w:p w14:paraId="1FFFD89B">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52733D2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烟台</w:t>
            </w:r>
          </w:p>
        </w:tc>
        <w:tc>
          <w:tcPr>
            <w:tcW w:w="699" w:type="dxa"/>
            <w:tcBorders>
              <w:top w:val="single" w:color="auto" w:sz="4" w:space="0"/>
              <w:left w:val="single" w:color="auto" w:sz="4" w:space="0"/>
              <w:bottom w:val="single" w:color="auto" w:sz="4" w:space="0"/>
              <w:right w:val="single" w:color="auto" w:sz="4" w:space="0"/>
            </w:tcBorders>
            <w:vAlign w:val="center"/>
          </w:tcPr>
          <w:p w14:paraId="6E149BCE">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029AC7F7">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71FA8E1E">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26</w:t>
            </w:r>
          </w:p>
        </w:tc>
        <w:tc>
          <w:tcPr>
            <w:tcW w:w="1215" w:type="dxa"/>
            <w:vMerge w:val="continue"/>
            <w:tcBorders>
              <w:left w:val="nil"/>
              <w:right w:val="single" w:color="000000" w:sz="4" w:space="0"/>
            </w:tcBorders>
            <w:vAlign w:val="center"/>
          </w:tcPr>
          <w:p w14:paraId="024E2D6A">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0D760F1E">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continue"/>
            <w:tcBorders>
              <w:left w:val="nil"/>
              <w:right w:val="single" w:color="auto" w:sz="4" w:space="0"/>
            </w:tcBorders>
            <w:noWrap/>
            <w:vAlign w:val="center"/>
          </w:tcPr>
          <w:p w14:paraId="11426036">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6A4DD76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潍坊</w:t>
            </w:r>
          </w:p>
        </w:tc>
        <w:tc>
          <w:tcPr>
            <w:tcW w:w="699" w:type="dxa"/>
            <w:tcBorders>
              <w:top w:val="single" w:color="auto" w:sz="4" w:space="0"/>
              <w:left w:val="single" w:color="auto" w:sz="4" w:space="0"/>
              <w:bottom w:val="single" w:color="auto" w:sz="4" w:space="0"/>
              <w:right w:val="single" w:color="auto" w:sz="4" w:space="0"/>
            </w:tcBorders>
            <w:vAlign w:val="center"/>
          </w:tcPr>
          <w:p w14:paraId="521118DB">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3B60D70A">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06756121">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27</w:t>
            </w:r>
          </w:p>
        </w:tc>
        <w:tc>
          <w:tcPr>
            <w:tcW w:w="1215" w:type="dxa"/>
            <w:vMerge w:val="continue"/>
            <w:tcBorders>
              <w:left w:val="nil"/>
              <w:right w:val="single" w:color="000000" w:sz="4" w:space="0"/>
            </w:tcBorders>
            <w:vAlign w:val="center"/>
          </w:tcPr>
          <w:p w14:paraId="403328C0">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70737D77">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continue"/>
            <w:tcBorders>
              <w:left w:val="nil"/>
              <w:right w:val="single" w:color="auto" w:sz="4" w:space="0"/>
            </w:tcBorders>
            <w:noWrap/>
            <w:vAlign w:val="center"/>
          </w:tcPr>
          <w:p w14:paraId="2E92AEF6">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1304FE1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东营</w:t>
            </w:r>
          </w:p>
        </w:tc>
        <w:tc>
          <w:tcPr>
            <w:tcW w:w="699" w:type="dxa"/>
            <w:tcBorders>
              <w:top w:val="single" w:color="auto" w:sz="4" w:space="0"/>
              <w:left w:val="single" w:color="auto" w:sz="4" w:space="0"/>
              <w:bottom w:val="single" w:color="auto" w:sz="4" w:space="0"/>
              <w:right w:val="single" w:color="auto" w:sz="4" w:space="0"/>
            </w:tcBorders>
            <w:vAlign w:val="center"/>
          </w:tcPr>
          <w:p w14:paraId="383D8FF6">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5DE84C02">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671DA0DD">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28</w:t>
            </w:r>
          </w:p>
        </w:tc>
        <w:tc>
          <w:tcPr>
            <w:tcW w:w="1215" w:type="dxa"/>
            <w:vMerge w:val="continue"/>
            <w:tcBorders>
              <w:left w:val="nil"/>
              <w:right w:val="single" w:color="000000" w:sz="4" w:space="0"/>
            </w:tcBorders>
            <w:vAlign w:val="center"/>
          </w:tcPr>
          <w:p w14:paraId="6FBD6B00">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bottom w:val="single" w:color="000000" w:sz="4" w:space="0"/>
              <w:right w:val="single" w:color="000000" w:sz="4" w:space="0"/>
            </w:tcBorders>
            <w:vAlign w:val="center"/>
          </w:tcPr>
          <w:p w14:paraId="7380DC15">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continue"/>
            <w:tcBorders>
              <w:left w:val="nil"/>
              <w:bottom w:val="single" w:color="000000" w:sz="4" w:space="0"/>
              <w:right w:val="single" w:color="auto" w:sz="4" w:space="0"/>
            </w:tcBorders>
            <w:noWrap/>
            <w:vAlign w:val="center"/>
          </w:tcPr>
          <w:p w14:paraId="5464E299">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23C5DCE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滨州</w:t>
            </w:r>
          </w:p>
        </w:tc>
        <w:tc>
          <w:tcPr>
            <w:tcW w:w="699" w:type="dxa"/>
            <w:tcBorders>
              <w:top w:val="single" w:color="auto" w:sz="4" w:space="0"/>
              <w:left w:val="single" w:color="auto" w:sz="4" w:space="0"/>
              <w:bottom w:val="single" w:color="auto" w:sz="4" w:space="0"/>
              <w:right w:val="single" w:color="auto" w:sz="4" w:space="0"/>
            </w:tcBorders>
            <w:vAlign w:val="center"/>
          </w:tcPr>
          <w:p w14:paraId="11DC9291">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7FC4A5B5">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2ACD91EA">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29</w:t>
            </w:r>
          </w:p>
        </w:tc>
        <w:tc>
          <w:tcPr>
            <w:tcW w:w="1215" w:type="dxa"/>
            <w:vMerge w:val="continue"/>
            <w:tcBorders>
              <w:left w:val="nil"/>
              <w:right w:val="single" w:color="000000" w:sz="4" w:space="0"/>
            </w:tcBorders>
            <w:vAlign w:val="center"/>
          </w:tcPr>
          <w:p w14:paraId="0EA17E88">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tcBorders>
              <w:top w:val="single" w:color="000000" w:sz="4" w:space="0"/>
              <w:left w:val="nil"/>
              <w:bottom w:val="single" w:color="000000" w:sz="4" w:space="0"/>
              <w:right w:val="single" w:color="000000" w:sz="4" w:space="0"/>
            </w:tcBorders>
            <w:vAlign w:val="center"/>
          </w:tcPr>
          <w:p w14:paraId="450F7D4E">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天津</w:t>
            </w:r>
          </w:p>
        </w:tc>
        <w:tc>
          <w:tcPr>
            <w:tcW w:w="2274" w:type="dxa"/>
            <w:tcBorders>
              <w:top w:val="single" w:color="000000" w:sz="4" w:space="0"/>
              <w:left w:val="nil"/>
              <w:bottom w:val="single" w:color="000000" w:sz="4" w:space="0"/>
              <w:right w:val="single" w:color="auto" w:sz="4" w:space="0"/>
            </w:tcBorders>
            <w:noWrap/>
            <w:vAlign w:val="center"/>
          </w:tcPr>
          <w:p w14:paraId="616B0982">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5BD0194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天津</w:t>
            </w:r>
          </w:p>
        </w:tc>
        <w:tc>
          <w:tcPr>
            <w:tcW w:w="699" w:type="dxa"/>
            <w:tcBorders>
              <w:top w:val="single" w:color="auto" w:sz="4" w:space="0"/>
              <w:left w:val="single" w:color="auto" w:sz="4" w:space="0"/>
              <w:bottom w:val="single" w:color="auto" w:sz="4" w:space="0"/>
              <w:right w:val="single" w:color="auto" w:sz="4" w:space="0"/>
            </w:tcBorders>
            <w:vAlign w:val="center"/>
          </w:tcPr>
          <w:p w14:paraId="027A3C88">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04CC61AE">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0067A190">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30</w:t>
            </w:r>
          </w:p>
        </w:tc>
        <w:tc>
          <w:tcPr>
            <w:tcW w:w="1215" w:type="dxa"/>
            <w:vMerge w:val="continue"/>
            <w:tcBorders>
              <w:left w:val="nil"/>
              <w:right w:val="single" w:color="000000" w:sz="4" w:space="0"/>
            </w:tcBorders>
            <w:vAlign w:val="center"/>
          </w:tcPr>
          <w:p w14:paraId="0CD5CF79">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restart"/>
            <w:tcBorders>
              <w:top w:val="single" w:color="000000" w:sz="4" w:space="0"/>
              <w:left w:val="nil"/>
              <w:right w:val="single" w:color="000000" w:sz="4" w:space="0"/>
            </w:tcBorders>
            <w:vAlign w:val="center"/>
          </w:tcPr>
          <w:p w14:paraId="6FD81185">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辽宁</w:t>
            </w:r>
          </w:p>
        </w:tc>
        <w:tc>
          <w:tcPr>
            <w:tcW w:w="2274" w:type="dxa"/>
            <w:vMerge w:val="restart"/>
            <w:tcBorders>
              <w:top w:val="single" w:color="000000" w:sz="4" w:space="0"/>
              <w:left w:val="nil"/>
              <w:right w:val="single" w:color="auto" w:sz="4" w:space="0"/>
            </w:tcBorders>
            <w:noWrap/>
            <w:vAlign w:val="center"/>
          </w:tcPr>
          <w:p w14:paraId="3F62E84E">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56E264C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大连</w:t>
            </w:r>
          </w:p>
        </w:tc>
        <w:tc>
          <w:tcPr>
            <w:tcW w:w="699" w:type="dxa"/>
            <w:tcBorders>
              <w:top w:val="single" w:color="auto" w:sz="4" w:space="0"/>
              <w:left w:val="single" w:color="auto" w:sz="4" w:space="0"/>
              <w:bottom w:val="single" w:color="auto" w:sz="4" w:space="0"/>
              <w:right w:val="single" w:color="auto" w:sz="4" w:space="0"/>
            </w:tcBorders>
            <w:vAlign w:val="center"/>
          </w:tcPr>
          <w:p w14:paraId="53A21A1F">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7C9DF027">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3B3D2FF6">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31</w:t>
            </w:r>
          </w:p>
        </w:tc>
        <w:tc>
          <w:tcPr>
            <w:tcW w:w="1215" w:type="dxa"/>
            <w:vMerge w:val="continue"/>
            <w:tcBorders>
              <w:left w:val="nil"/>
              <w:right w:val="single" w:color="000000" w:sz="4" w:space="0"/>
            </w:tcBorders>
            <w:vAlign w:val="center"/>
          </w:tcPr>
          <w:p w14:paraId="567E635B">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389527FB">
            <w:pPr>
              <w:pStyle w:val="38"/>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continue"/>
            <w:tcBorders>
              <w:left w:val="nil"/>
              <w:right w:val="single" w:color="auto" w:sz="4" w:space="0"/>
            </w:tcBorders>
            <w:noWrap/>
            <w:vAlign w:val="center"/>
          </w:tcPr>
          <w:p w14:paraId="5C7B28D4">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7CCA1A8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营口</w:t>
            </w:r>
          </w:p>
        </w:tc>
        <w:tc>
          <w:tcPr>
            <w:tcW w:w="699" w:type="dxa"/>
            <w:tcBorders>
              <w:top w:val="single" w:color="auto" w:sz="4" w:space="0"/>
              <w:left w:val="single" w:color="auto" w:sz="4" w:space="0"/>
              <w:bottom w:val="single" w:color="auto" w:sz="4" w:space="0"/>
              <w:right w:val="single" w:color="auto" w:sz="4" w:space="0"/>
            </w:tcBorders>
            <w:vAlign w:val="center"/>
          </w:tcPr>
          <w:p w14:paraId="271D8F5F">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30C5F328">
        <w:tblPrEx>
          <w:tblCellMar>
            <w:top w:w="0" w:type="dxa"/>
            <w:left w:w="108" w:type="dxa"/>
            <w:bottom w:w="0" w:type="dxa"/>
            <w:right w:w="108" w:type="dxa"/>
          </w:tblCellMar>
        </w:tblPrEx>
        <w:trPr>
          <w:trHeight w:val="421"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11AE134C">
            <w:pPr>
              <w:widowControl/>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32</w:t>
            </w:r>
          </w:p>
        </w:tc>
        <w:tc>
          <w:tcPr>
            <w:tcW w:w="1215" w:type="dxa"/>
            <w:vMerge w:val="continue"/>
            <w:tcBorders>
              <w:left w:val="nil"/>
              <w:right w:val="single" w:color="000000" w:sz="4" w:space="0"/>
            </w:tcBorders>
            <w:vAlign w:val="center"/>
          </w:tcPr>
          <w:p w14:paraId="63C4DBF7">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3262" w:type="dxa"/>
            <w:vMerge w:val="continue"/>
            <w:tcBorders>
              <w:left w:val="nil"/>
              <w:right w:val="single" w:color="000000" w:sz="4" w:space="0"/>
            </w:tcBorders>
            <w:vAlign w:val="center"/>
          </w:tcPr>
          <w:p w14:paraId="4735E170">
            <w:pPr>
              <w:pStyle w:val="38"/>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2274" w:type="dxa"/>
            <w:vMerge w:val="continue"/>
            <w:tcBorders>
              <w:left w:val="nil"/>
              <w:bottom w:val="single" w:color="auto" w:sz="4" w:space="0"/>
              <w:right w:val="single" w:color="auto" w:sz="4" w:space="0"/>
            </w:tcBorders>
            <w:noWrap/>
            <w:vAlign w:val="center"/>
          </w:tcPr>
          <w:p w14:paraId="66115287">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66884FC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锦州</w:t>
            </w:r>
          </w:p>
        </w:tc>
        <w:tc>
          <w:tcPr>
            <w:tcW w:w="699" w:type="dxa"/>
            <w:tcBorders>
              <w:top w:val="single" w:color="auto" w:sz="4" w:space="0"/>
              <w:left w:val="single" w:color="auto" w:sz="4" w:space="0"/>
              <w:bottom w:val="single" w:color="auto" w:sz="4" w:space="0"/>
              <w:right w:val="single" w:color="auto" w:sz="4" w:space="0"/>
            </w:tcBorders>
            <w:vAlign w:val="center"/>
          </w:tcPr>
          <w:p w14:paraId="782A98D6">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675B91CE">
        <w:tblPrEx>
          <w:tblCellMar>
            <w:top w:w="0" w:type="dxa"/>
            <w:left w:w="108" w:type="dxa"/>
            <w:bottom w:w="0" w:type="dxa"/>
            <w:right w:w="108" w:type="dxa"/>
          </w:tblCellMar>
        </w:tblPrEx>
        <w:trPr>
          <w:trHeight w:val="421" w:hRule="atLeast"/>
          <w:jc w:val="center"/>
        </w:trPr>
        <w:tc>
          <w:tcPr>
            <w:tcW w:w="5021" w:type="dxa"/>
            <w:gridSpan w:val="3"/>
            <w:tcBorders>
              <w:top w:val="single" w:color="000000" w:sz="4" w:space="0"/>
              <w:left w:val="single" w:color="000000" w:sz="4" w:space="0"/>
              <w:bottom w:val="single" w:color="000000" w:sz="4" w:space="0"/>
              <w:right w:val="single" w:color="auto" w:sz="4" w:space="0"/>
            </w:tcBorders>
            <w:vAlign w:val="center"/>
          </w:tcPr>
          <w:p w14:paraId="4B00DF51">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合计</w:t>
            </w:r>
          </w:p>
        </w:tc>
        <w:tc>
          <w:tcPr>
            <w:tcW w:w="2274" w:type="dxa"/>
            <w:tcBorders>
              <w:top w:val="single" w:color="auto" w:sz="4" w:space="0"/>
              <w:left w:val="single" w:color="auto" w:sz="4" w:space="0"/>
              <w:bottom w:val="single" w:color="auto" w:sz="4" w:space="0"/>
              <w:right w:val="single" w:color="auto" w:sz="4" w:space="0"/>
            </w:tcBorders>
            <w:noWrap/>
            <w:vAlign w:val="center"/>
          </w:tcPr>
          <w:p w14:paraId="719827E2">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i w:val="0"/>
                <w:iCs w:val="0"/>
                <w:color w:val="000000"/>
                <w:kern w:val="0"/>
                <w:sz w:val="24"/>
                <w:szCs w:val="24"/>
                <w:u w:val="none"/>
                <w:lang w:val="en-US" w:eastAsia="zh-CN" w:bidi="ar"/>
              </w:rPr>
            </w:pPr>
          </w:p>
        </w:tc>
        <w:tc>
          <w:tcPr>
            <w:tcW w:w="1623" w:type="dxa"/>
            <w:tcBorders>
              <w:top w:val="single" w:color="auto" w:sz="4" w:space="0"/>
              <w:left w:val="single" w:color="auto" w:sz="4" w:space="0"/>
              <w:bottom w:val="single" w:color="auto" w:sz="4" w:space="0"/>
              <w:right w:val="single" w:color="auto" w:sz="4" w:space="0"/>
            </w:tcBorders>
            <w:noWrap/>
            <w:vAlign w:val="center"/>
          </w:tcPr>
          <w:p w14:paraId="19C2B78C">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i w:val="0"/>
                <w:iCs w:val="0"/>
                <w:color w:val="000000"/>
                <w:kern w:val="0"/>
                <w:sz w:val="24"/>
                <w:szCs w:val="24"/>
                <w:u w:val="none"/>
                <w:lang w:val="en-US" w:eastAsia="zh-CN" w:bidi="ar"/>
              </w:rPr>
            </w:pPr>
          </w:p>
        </w:tc>
        <w:tc>
          <w:tcPr>
            <w:tcW w:w="699" w:type="dxa"/>
            <w:tcBorders>
              <w:top w:val="single" w:color="auto" w:sz="4" w:space="0"/>
              <w:left w:val="single" w:color="auto" w:sz="4" w:space="0"/>
              <w:bottom w:val="single" w:color="auto" w:sz="4" w:space="0"/>
              <w:right w:val="single" w:color="auto" w:sz="4" w:space="0"/>
            </w:tcBorders>
            <w:vAlign w:val="center"/>
          </w:tcPr>
          <w:p w14:paraId="19B62211">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2D26518B">
        <w:tblPrEx>
          <w:tblCellMar>
            <w:top w:w="0" w:type="dxa"/>
            <w:left w:w="108" w:type="dxa"/>
            <w:bottom w:w="0" w:type="dxa"/>
            <w:right w:w="108" w:type="dxa"/>
          </w:tblCellMar>
        </w:tblPrEx>
        <w:trPr>
          <w:trHeight w:val="421" w:hRule="atLeast"/>
          <w:jc w:val="center"/>
        </w:trPr>
        <w:tc>
          <w:tcPr>
            <w:tcW w:w="5021" w:type="dxa"/>
            <w:gridSpan w:val="3"/>
            <w:tcBorders>
              <w:top w:val="single" w:color="000000" w:sz="4" w:space="0"/>
              <w:left w:val="single" w:color="000000" w:sz="4" w:space="0"/>
              <w:bottom w:val="single" w:color="000000" w:sz="4" w:space="0"/>
              <w:right w:val="single" w:color="auto" w:sz="4" w:space="0"/>
            </w:tcBorders>
            <w:vAlign w:val="center"/>
          </w:tcPr>
          <w:p w14:paraId="2C3471CE">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提供增值税专用发票税率</w:t>
            </w:r>
          </w:p>
        </w:tc>
        <w:tc>
          <w:tcPr>
            <w:tcW w:w="2274" w:type="dxa"/>
            <w:tcBorders>
              <w:top w:val="single" w:color="auto" w:sz="4" w:space="0"/>
              <w:left w:val="single" w:color="auto" w:sz="4" w:space="0"/>
              <w:bottom w:val="single" w:color="auto" w:sz="4" w:space="0"/>
              <w:right w:val="single" w:color="auto" w:sz="4" w:space="0"/>
            </w:tcBorders>
            <w:noWrap/>
            <w:vAlign w:val="center"/>
          </w:tcPr>
          <w:p w14:paraId="244FE1EF">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9%</w:t>
            </w:r>
          </w:p>
        </w:tc>
        <w:tc>
          <w:tcPr>
            <w:tcW w:w="1623" w:type="dxa"/>
            <w:tcBorders>
              <w:top w:val="single" w:color="auto" w:sz="4" w:space="0"/>
              <w:left w:val="single" w:color="auto" w:sz="4" w:space="0"/>
              <w:bottom w:val="single" w:color="auto" w:sz="4" w:space="0"/>
              <w:right w:val="single" w:color="auto" w:sz="4" w:space="0"/>
            </w:tcBorders>
            <w:noWrap/>
            <w:vAlign w:val="center"/>
          </w:tcPr>
          <w:p w14:paraId="4BAC8FEE">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i w:val="0"/>
                <w:iCs w:val="0"/>
                <w:color w:val="000000"/>
                <w:kern w:val="0"/>
                <w:sz w:val="24"/>
                <w:szCs w:val="24"/>
                <w:u w:val="none"/>
                <w:lang w:val="en-US" w:eastAsia="zh-CN" w:bidi="ar"/>
              </w:rPr>
            </w:pPr>
          </w:p>
        </w:tc>
        <w:tc>
          <w:tcPr>
            <w:tcW w:w="699" w:type="dxa"/>
            <w:tcBorders>
              <w:top w:val="single" w:color="auto" w:sz="4" w:space="0"/>
              <w:left w:val="single" w:color="auto" w:sz="4" w:space="0"/>
              <w:bottom w:val="single" w:color="auto" w:sz="4" w:space="0"/>
              <w:right w:val="single" w:color="auto" w:sz="4" w:space="0"/>
            </w:tcBorders>
            <w:vAlign w:val="center"/>
          </w:tcPr>
          <w:p w14:paraId="072B94E4">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bl>
    <w:p w14:paraId="032825E7">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p w14:paraId="1A6FEACD">
      <w:pPr>
        <w:pStyle w:val="28"/>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验收方法：装货港数量以岸</w:t>
      </w: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罐数为准；卸货港数量交接以岸罐数为准。</w:t>
      </w:r>
    </w:p>
    <w:p w14:paraId="610F098D">
      <w:pPr>
        <w:pStyle w:val="28"/>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拟运输物料：沥青</w:t>
      </w:r>
    </w:p>
    <w:p w14:paraId="69837DE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320" w:firstLineChars="1800"/>
        <w:jc w:val="both"/>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p w14:paraId="41104A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320" w:firstLineChars="1800"/>
        <w:jc w:val="both"/>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p w14:paraId="03A347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320" w:firstLineChars="1800"/>
        <w:jc w:val="both"/>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报价单位（盖章）：</w:t>
      </w:r>
    </w:p>
    <w:p w14:paraId="4A6D7BD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 xml:space="preserve">                               法定代表或授权代表（签章）：</w:t>
      </w:r>
    </w:p>
    <w:p w14:paraId="1238263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 xml:space="preserve">                        日期：2025年  月  日</w:t>
      </w:r>
    </w:p>
    <w:bookmarkEnd w:id="0"/>
    <w:bookmarkEnd w:id="1"/>
    <w:p w14:paraId="566D9868">
      <w:pPr>
        <w:snapToGrid w:val="0"/>
        <w:spacing w:line="480" w:lineRule="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00A9987D">
      <w:pPr>
        <w:snapToGrid w:val="0"/>
        <w:spacing w:line="480" w:lineRule="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附件一：</w:t>
      </w:r>
    </w:p>
    <w:p w14:paraId="4E0D67FE">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Times New Roman"/>
          <w:b/>
          <w:bCs/>
          <w:color w:val="auto"/>
          <w:kern w:val="2"/>
          <w:sz w:val="44"/>
          <w:szCs w:val="44"/>
          <w:highlight w:val="none"/>
          <w:lang w:val="en-US" w:eastAsia="zh-CN" w:bidi="ar-SA"/>
        </w:rPr>
      </w:pPr>
      <w:r>
        <w:rPr>
          <w:rFonts w:hint="eastAsia" w:ascii="仿宋" w:hAnsi="仿宋" w:eastAsia="仿宋" w:cs="Times New Roman"/>
          <w:b/>
          <w:bCs/>
          <w:color w:val="auto"/>
          <w:kern w:val="2"/>
          <w:sz w:val="44"/>
          <w:szCs w:val="44"/>
          <w:highlight w:val="none"/>
          <w:lang w:val="en-US" w:eastAsia="zh-CN" w:bidi="ar-SA"/>
        </w:rPr>
        <w:t>报价承诺函</w:t>
      </w:r>
    </w:p>
    <w:p w14:paraId="715819D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海南洋浦陆海能源发展有限公司：</w:t>
      </w:r>
    </w:p>
    <w:p w14:paraId="6E1C2F6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我单位对贵单位所发的</w:t>
      </w:r>
      <w:r>
        <w:rPr>
          <w:rFonts w:hint="eastAsia" w:ascii="楷体" w:hAnsi="楷体" w:eastAsia="楷体" w:cs="楷体"/>
          <w:color w:val="auto"/>
          <w:sz w:val="24"/>
          <w:szCs w:val="24"/>
          <w:highlight w:val="none"/>
          <w:lang w:val="en-US" w:eastAsia="zh-CN"/>
        </w:rPr>
        <w:t>公开询价报价</w:t>
      </w:r>
      <w:r>
        <w:rPr>
          <w:rFonts w:hint="eastAsia" w:ascii="楷体" w:hAnsi="楷体" w:eastAsia="楷体" w:cs="楷体"/>
          <w:color w:val="auto"/>
          <w:sz w:val="24"/>
          <w:szCs w:val="24"/>
          <w:highlight w:val="none"/>
        </w:rPr>
        <w:t>文件所有条款予以确认，并进一步承诺如下：</w:t>
      </w:r>
    </w:p>
    <w:p w14:paraId="6BB863E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1、我单位所报的单价，已充分考虑了</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文件及采购合同要求</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单位应承担的所有义务及风险，由此造成或可能造成的费用我方已包含在报价中。</w:t>
      </w:r>
    </w:p>
    <w:p w14:paraId="60212D1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2、若我单位</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，除非贵单位要求，我单位将不主动要求调整采购合同条款。否则，贵单位可以随时取消我单位的</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资格。</w:t>
      </w:r>
    </w:p>
    <w:p w14:paraId="31A53BB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3、我单位承诺不会因贵方对采购合同中的承包范围的调整而产生的异议。</w:t>
      </w:r>
    </w:p>
    <w:p w14:paraId="7971477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4、我单位的《</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承诺函》，将作为合同的组成部分。</w:t>
      </w:r>
    </w:p>
    <w:p w14:paraId="3495665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5、若我单位没有</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，我单位将不要求贵方做任何解释。</w:t>
      </w:r>
    </w:p>
    <w:p w14:paraId="7B3494A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、若我单位</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，我单位同意本确认函及所有文件作为合同的组成部分，与</w:t>
      </w:r>
      <w:r>
        <w:rPr>
          <w:rFonts w:hint="eastAsia" w:ascii="楷体" w:hAnsi="楷体" w:eastAsia="楷体" w:cs="楷体"/>
          <w:color w:val="auto"/>
          <w:sz w:val="24"/>
          <w:szCs w:val="24"/>
          <w:highlight w:val="none"/>
          <w:lang w:eastAsia="zh-CN"/>
        </w:rPr>
        <w:t>提供运输服务</w:t>
      </w:r>
      <w:r>
        <w:rPr>
          <w:rFonts w:hint="eastAsia" w:ascii="楷体" w:hAnsi="楷体" w:eastAsia="楷体" w:cs="楷体"/>
          <w:color w:val="auto"/>
          <w:sz w:val="24"/>
          <w:szCs w:val="24"/>
          <w:highlight w:val="none"/>
        </w:rPr>
        <w:t>合同具有同样的法律效力。</w:t>
      </w:r>
    </w:p>
    <w:p w14:paraId="3067808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7</w:t>
      </w:r>
      <w:r>
        <w:rPr>
          <w:rFonts w:hint="eastAsia" w:ascii="楷体" w:hAnsi="楷体" w:eastAsia="楷体" w:cs="楷体"/>
          <w:color w:val="auto"/>
          <w:sz w:val="24"/>
          <w:szCs w:val="24"/>
          <w:highlight w:val="none"/>
        </w:rPr>
        <w:t>、我单位将严格按照</w:t>
      </w:r>
      <w:r>
        <w:rPr>
          <w:rFonts w:hint="eastAsia" w:ascii="楷体" w:hAnsi="楷体" w:eastAsia="楷体" w:cs="楷体"/>
          <w:color w:val="auto"/>
          <w:sz w:val="24"/>
          <w:szCs w:val="24"/>
          <w:highlight w:val="none"/>
          <w:lang w:eastAsia="zh-CN"/>
        </w:rPr>
        <w:t>贵单位</w:t>
      </w:r>
      <w:r>
        <w:rPr>
          <w:rFonts w:hint="eastAsia" w:ascii="楷体" w:hAnsi="楷体" w:eastAsia="楷体" w:cs="楷体"/>
          <w:color w:val="auto"/>
          <w:sz w:val="24"/>
          <w:szCs w:val="24"/>
          <w:highlight w:val="none"/>
        </w:rPr>
        <w:t>的要求提供</w:t>
      </w:r>
      <w:r>
        <w:rPr>
          <w:rFonts w:hint="eastAsia" w:ascii="楷体" w:hAnsi="楷体" w:eastAsia="楷体" w:cs="楷体"/>
          <w:color w:val="auto"/>
          <w:sz w:val="24"/>
          <w:szCs w:val="24"/>
          <w:highlight w:val="none"/>
          <w:lang w:val="en-US" w:eastAsia="zh-CN"/>
        </w:rPr>
        <w:t>服务。</w:t>
      </w:r>
    </w:p>
    <w:p w14:paraId="73D4A09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highlight w:val="none"/>
        </w:rPr>
        <w:t>、在</w:t>
      </w:r>
      <w:r>
        <w:rPr>
          <w:rFonts w:hint="eastAsia" w:ascii="楷体" w:hAnsi="楷体" w:eastAsia="楷体" w:cs="楷体"/>
          <w:color w:val="auto"/>
          <w:sz w:val="24"/>
          <w:szCs w:val="24"/>
          <w:highlight w:val="none"/>
          <w:lang w:val="en-US" w:eastAsia="zh-CN"/>
        </w:rPr>
        <w:t>运输</w:t>
      </w:r>
      <w:r>
        <w:rPr>
          <w:rFonts w:hint="eastAsia" w:ascii="楷体" w:hAnsi="楷体" w:eastAsia="楷体" w:cs="楷体"/>
          <w:color w:val="auto"/>
          <w:sz w:val="24"/>
          <w:szCs w:val="24"/>
          <w:highlight w:val="none"/>
        </w:rPr>
        <w:t>时间上将严格按要求时间</w:t>
      </w:r>
      <w:r>
        <w:rPr>
          <w:rFonts w:hint="eastAsia" w:ascii="楷体" w:hAnsi="楷体" w:eastAsia="楷体" w:cs="楷体"/>
          <w:color w:val="auto"/>
          <w:sz w:val="24"/>
          <w:szCs w:val="24"/>
          <w:highlight w:val="none"/>
          <w:lang w:val="en-US" w:eastAsia="zh-CN"/>
        </w:rPr>
        <w:t>运送至指定港口。</w:t>
      </w:r>
    </w:p>
    <w:p w14:paraId="54B8A5E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9</w:t>
      </w:r>
      <w:r>
        <w:rPr>
          <w:rFonts w:hint="eastAsia" w:ascii="楷体" w:hAnsi="楷体" w:eastAsia="楷体" w:cs="楷体"/>
          <w:color w:val="auto"/>
          <w:sz w:val="24"/>
          <w:szCs w:val="24"/>
          <w:highlight w:val="none"/>
        </w:rPr>
        <w:t>、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14:paraId="1C416AE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0</w:t>
      </w:r>
      <w:r>
        <w:rPr>
          <w:rFonts w:hint="eastAsia" w:ascii="楷体" w:hAnsi="楷体" w:eastAsia="楷体" w:cs="楷体"/>
          <w:color w:val="auto"/>
          <w:sz w:val="24"/>
          <w:szCs w:val="24"/>
          <w:highlight w:val="none"/>
        </w:rPr>
        <w:t>、我单位郑重承诺：我单位对</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单位提供的</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文件及合同条款完全接受和遵守。</w:t>
      </w:r>
    </w:p>
    <w:p w14:paraId="27E4EEE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、我单位承诺同意按照贵单位要求办理结算及支付方式；承诺按所提供本单位银行开户许可证的开户行名称及帐号接收结算款，保证不使用委托收款。</w:t>
      </w:r>
    </w:p>
    <w:p w14:paraId="12BF250B">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 xml:space="preserve">                           </w:t>
      </w:r>
    </w:p>
    <w:p w14:paraId="1CB9706C">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lang w:val="en-US" w:eastAsia="zh-CN"/>
        </w:rPr>
      </w:pPr>
    </w:p>
    <w:p w14:paraId="001A2804">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lang w:val="en-US" w:eastAsia="zh-CN"/>
        </w:rPr>
      </w:pPr>
    </w:p>
    <w:p w14:paraId="6710DD36">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lang w:val="en-US" w:eastAsia="zh-CN"/>
        </w:rPr>
      </w:pPr>
    </w:p>
    <w:p w14:paraId="6E0392E2">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                           报价</w:t>
      </w:r>
      <w:r>
        <w:rPr>
          <w:rFonts w:hint="eastAsia" w:ascii="楷体" w:hAnsi="楷体" w:eastAsia="楷体" w:cs="楷体"/>
          <w:b/>
          <w:bCs/>
          <w:color w:val="auto"/>
          <w:sz w:val="24"/>
          <w:szCs w:val="24"/>
          <w:highlight w:val="none"/>
        </w:rPr>
        <w:t>单位：</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（章）</w:t>
      </w:r>
    </w:p>
    <w:p w14:paraId="5B984A1F">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法人代表：</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lang w:val="en-US" w:eastAsia="zh-CN"/>
        </w:rPr>
        <w:t>签字/</w:t>
      </w:r>
      <w:r>
        <w:rPr>
          <w:rFonts w:hint="eastAsia" w:ascii="楷体" w:hAnsi="楷体" w:eastAsia="楷体" w:cs="楷体"/>
          <w:b/>
          <w:bCs/>
          <w:color w:val="auto"/>
          <w:sz w:val="24"/>
          <w:szCs w:val="24"/>
          <w:highlight w:val="none"/>
        </w:rPr>
        <w:t>章）</w:t>
      </w:r>
    </w:p>
    <w:p w14:paraId="658CAE89">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19" w:firstLineChars="2000"/>
        <w:textAlignment w:val="baseline"/>
        <w:rPr>
          <w:rFonts w:hint="eastAsia" w:ascii="楷体" w:hAnsi="楷体" w:eastAsia="楷体" w:cs="楷体"/>
          <w:b/>
          <w:bCs/>
          <w:color w:val="auto"/>
          <w:sz w:val="24"/>
          <w:szCs w:val="24"/>
          <w:highlight w:val="none"/>
        </w:rPr>
      </w:pPr>
    </w:p>
    <w:p w14:paraId="5B8BB6FA">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19" w:firstLineChars="2000"/>
        <w:textAlignment w:val="baseline"/>
        <w:rPr>
          <w:rFonts w:hint="eastAsia" w:ascii="楷体" w:hAnsi="楷体" w:eastAsia="楷体" w:cs="楷体"/>
          <w:color w:val="auto"/>
          <w:sz w:val="24"/>
          <w:szCs w:val="24"/>
          <w:highlight w:val="none"/>
          <w:lang w:val="en-US" w:eastAsia="zh-CN"/>
        </w:rPr>
        <w:sectPr>
          <w:pgSz w:w="11906" w:h="16838"/>
          <w:pgMar w:top="1440" w:right="1800" w:bottom="1247" w:left="1800" w:header="851" w:footer="992" w:gutter="0"/>
          <w:cols w:space="0" w:num="1"/>
          <w:docGrid w:type="lines" w:linePitch="312" w:charSpace="0"/>
        </w:sectPr>
      </w:pPr>
      <w:r>
        <w:rPr>
          <w:rFonts w:hint="eastAsia" w:ascii="楷体" w:hAnsi="楷体" w:eastAsia="楷体" w:cs="楷体"/>
          <w:b/>
          <w:bCs/>
          <w:color w:val="auto"/>
          <w:sz w:val="24"/>
          <w:szCs w:val="24"/>
          <w:highlight w:val="none"/>
        </w:rPr>
        <w:t>日    期</w:t>
      </w:r>
      <w:r>
        <w:rPr>
          <w:rFonts w:hint="eastAsia" w:ascii="楷体" w:hAnsi="楷体" w:eastAsia="楷体" w:cs="楷体"/>
          <w:color w:val="auto"/>
          <w:sz w:val="24"/>
          <w:szCs w:val="24"/>
          <w:highlight w:val="none"/>
        </w:rPr>
        <w:t>：</w:t>
      </w: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2025年  月  日</w:t>
      </w:r>
      <w:r>
        <w:rPr>
          <w:rFonts w:hint="eastAsia" w:ascii="楷体" w:hAnsi="楷体" w:eastAsia="楷体" w:cs="楷体"/>
          <w:color w:val="auto"/>
          <w:sz w:val="24"/>
          <w:szCs w:val="24"/>
          <w:highlight w:val="none"/>
          <w:lang w:val="en-US" w:eastAsia="zh-CN"/>
        </w:rPr>
        <w:t xml:space="preserve">                     </w:t>
      </w:r>
    </w:p>
    <w:p w14:paraId="53BED680">
      <w:pPr>
        <w:pStyle w:val="38"/>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jc w:val="center"/>
        <w:textAlignment w:val="baseline"/>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pPr>
      <w:r>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t>船证（包括但不限于：</w:t>
      </w:r>
      <w:r>
        <w:rPr>
          <w:rFonts w:hint="eastAsia" w:ascii="楷体" w:hAnsi="楷体" w:eastAsia="楷体" w:cs="楷体"/>
          <w:bCs/>
          <w:color w:val="auto"/>
          <w:sz w:val="24"/>
          <w:szCs w:val="24"/>
          <w:highlight w:val="none"/>
          <w:lang w:val="en-US" w:eastAsia="zh-CN"/>
        </w:rPr>
        <w:t>1.</w:t>
      </w:r>
      <w:r>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t>所有权证2.国内航行海船安全与环保证书3.国籍证书4.保险单5.船舶营业运输证6.水路运输许可7.最低配员证8.非持久性油类污染损害民事责任保险9.燃油污染损害民事责任保险10.油污损害民事责任保险11.海上船舶检验报告12.安全管理证书）</w:t>
      </w:r>
    </w:p>
    <w:p w14:paraId="202A50EA">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pPr>
    </w:p>
    <w:p w14:paraId="0098E0E4">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pPr>
    </w:p>
    <w:p w14:paraId="77E59E29">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pPr>
    </w:p>
    <w:p w14:paraId="38FF7F62">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354F2FA5">
      <w:pPr>
        <w:pStyle w:val="28"/>
        <w:spacing w:line="360" w:lineRule="auto"/>
        <w:ind w:firstLine="0" w:firstLineChars="0"/>
        <w:jc w:val="center"/>
        <w:outlineLvl w:val="2"/>
        <w:rPr>
          <w:rFonts w:hint="eastAsia" w:ascii="仿宋" w:hAnsi="仿宋" w:eastAsia="仿宋"/>
          <w:b/>
          <w:bCs/>
          <w:sz w:val="24"/>
          <w:szCs w:val="24"/>
          <w:highlight w:val="none"/>
          <w:lang w:val="en-US" w:eastAsia="zh-CN"/>
        </w:rPr>
      </w:pPr>
      <w:r>
        <w:rPr>
          <w:rFonts w:hint="eastAsia" w:ascii="仿宋" w:hAnsi="仿宋" w:eastAsia="仿宋"/>
          <w:b/>
          <w:bCs/>
          <w:sz w:val="24"/>
          <w:szCs w:val="24"/>
          <w:highlight w:val="none"/>
          <w:lang w:val="en-US" w:eastAsia="zh-CN"/>
        </w:rPr>
        <w:t>三、</w:t>
      </w:r>
      <w:r>
        <w:rPr>
          <w:rFonts w:hint="eastAsia" w:ascii="仿宋" w:hAnsi="仿宋" w:eastAsia="仿宋"/>
          <w:b/>
          <w:bCs/>
          <w:sz w:val="24"/>
          <w:szCs w:val="24"/>
          <w:highlight w:val="none"/>
        </w:rPr>
        <w:t>无重大违法记录</w:t>
      </w:r>
      <w:r>
        <w:rPr>
          <w:rFonts w:hint="eastAsia" w:ascii="仿宋" w:hAnsi="仿宋" w:eastAsia="仿宋"/>
          <w:b/>
          <w:bCs/>
          <w:sz w:val="24"/>
          <w:szCs w:val="24"/>
          <w:highlight w:val="none"/>
          <w:lang w:val="en-US" w:eastAsia="zh-CN"/>
        </w:rPr>
        <w:t>证明材料</w:t>
      </w:r>
    </w:p>
    <w:p w14:paraId="710B9AC3">
      <w:pPr>
        <w:pStyle w:val="28"/>
        <w:spacing w:line="360" w:lineRule="auto"/>
        <w:ind w:firstLine="0" w:firstLineChars="0"/>
        <w:jc w:val="left"/>
        <w:rPr>
          <w:rFonts w:hint="eastAsia" w:ascii="仿宋" w:hAnsi="仿宋" w:eastAsia="仿宋" w:cs="黑体"/>
          <w:b/>
          <w:kern w:val="0"/>
          <w:sz w:val="24"/>
          <w:szCs w:val="24"/>
          <w:highlight w:val="none"/>
        </w:rPr>
      </w:pPr>
    </w:p>
    <w:p w14:paraId="0E49FC99">
      <w:pPr>
        <w:pStyle w:val="39"/>
        <w:spacing w:line="360" w:lineRule="auto"/>
        <w:rPr>
          <w:rFonts w:hint="eastAsia" w:ascii="仿宋" w:hAnsi="仿宋" w:eastAsia="仿宋" w:cs="黑体"/>
          <w:b/>
          <w:kern w:val="0"/>
          <w:sz w:val="24"/>
          <w:szCs w:val="24"/>
          <w:highlight w:val="none"/>
        </w:rPr>
      </w:pPr>
      <w:r>
        <w:rPr>
          <w:rFonts w:hint="eastAsia" w:ascii="仿宋" w:hAnsi="仿宋" w:eastAsia="仿宋" w:cs="黑体"/>
          <w:b/>
          <w:kern w:val="0"/>
          <w:sz w:val="24"/>
          <w:szCs w:val="24"/>
          <w:highlight w:val="none"/>
        </w:rPr>
        <w:t>附截图（需盖章）：</w:t>
      </w:r>
    </w:p>
    <w:p w14:paraId="260CC8EC">
      <w:pPr>
        <w:pStyle w:val="39"/>
        <w:spacing w:line="360" w:lineRule="auto"/>
        <w:rPr>
          <w:rFonts w:hint="default" w:ascii="仿宋" w:hAnsi="仿宋" w:eastAsia="仿宋" w:cs="黑体"/>
          <w:b/>
          <w:kern w:val="0"/>
          <w:sz w:val="24"/>
          <w:szCs w:val="24"/>
          <w:highlight w:val="none"/>
          <w:lang w:val="en-US" w:eastAsia="zh-CN"/>
        </w:rPr>
      </w:pPr>
      <w:r>
        <w:rPr>
          <w:rFonts w:hint="eastAsia" w:ascii="仿宋" w:hAnsi="仿宋" w:eastAsia="仿宋" w:cs="黑体"/>
          <w:b/>
          <w:kern w:val="0"/>
          <w:sz w:val="24"/>
          <w:szCs w:val="24"/>
          <w:highlight w:val="none"/>
          <w:lang w:val="en-US" w:eastAsia="zh-CN"/>
        </w:rPr>
        <w:t>以下提供截图截取要求，截图供参考</w:t>
      </w:r>
    </w:p>
    <w:p w14:paraId="37E51E72">
      <w:pPr>
        <w:pStyle w:val="28"/>
        <w:spacing w:line="360" w:lineRule="auto"/>
        <w:ind w:firstLine="0" w:firstLineChars="0"/>
        <w:jc w:val="left"/>
        <w:rPr>
          <w:rFonts w:hint="eastAsia" w:ascii="仿宋" w:hAnsi="仿宋" w:eastAsia="仿宋"/>
          <w:kern w:val="44"/>
          <w:sz w:val="24"/>
          <w:szCs w:val="24"/>
          <w:highlight w:val="none"/>
        </w:rPr>
      </w:pPr>
      <w:r>
        <w:rPr>
          <w:rFonts w:ascii="仿宋" w:hAnsi="仿宋" w:eastAsia="仿宋"/>
          <w:sz w:val="24"/>
          <w:szCs w:val="24"/>
          <w:highlight w:val="none"/>
        </w:rPr>
        <w:fldChar w:fldCharType="begin"/>
      </w:r>
      <w:r>
        <w:rPr>
          <w:rFonts w:ascii="仿宋" w:hAnsi="仿宋" w:eastAsia="仿宋"/>
          <w:sz w:val="24"/>
          <w:szCs w:val="24"/>
          <w:highlight w:val="none"/>
        </w:rPr>
        <w:instrText xml:space="preserve"> INCLUDEPICTURE "C:\\Users\\Lenovo\\AppData\\Local\\Temp\\ksohtml11256\\wps1.jpg" \* MERGEFORMATINET </w:instrText>
      </w:r>
      <w:r>
        <w:rPr>
          <w:rFonts w:ascii="仿宋" w:hAnsi="仿宋" w:eastAsia="仿宋"/>
          <w:sz w:val="24"/>
          <w:szCs w:val="24"/>
          <w:highlight w:val="none"/>
        </w:rPr>
        <w:fldChar w:fldCharType="separate"/>
      </w:r>
      <w:r>
        <w:rPr>
          <w:rFonts w:ascii="仿宋" w:hAnsi="仿宋" w:eastAsia="仿宋"/>
          <w:sz w:val="24"/>
          <w:szCs w:val="24"/>
          <w:highlight w:val="none"/>
        </w:rPr>
        <w:drawing>
          <wp:inline distT="0" distB="0" distL="114300" distR="114300">
            <wp:extent cx="5708650" cy="3796665"/>
            <wp:effectExtent l="0" t="0" r="6350" b="13335"/>
            <wp:docPr id="5"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wps1"/>
                    <pic:cNvPicPr>
                      <a:picLocks noChangeAspect="1"/>
                    </pic:cNvPicPr>
                  </pic:nvPicPr>
                  <pic:blipFill>
                    <a:blip r:embed="rId4"/>
                    <a:stretch>
                      <a:fillRect/>
                    </a:stretch>
                  </pic:blipFill>
                  <pic:spPr>
                    <a:xfrm>
                      <a:off x="0" y="0"/>
                      <a:ext cx="5708650" cy="3796665"/>
                    </a:xfrm>
                    <a:prstGeom prst="rect">
                      <a:avLst/>
                    </a:prstGeom>
                    <a:noFill/>
                    <a:ln>
                      <a:noFill/>
                    </a:ln>
                  </pic:spPr>
                </pic:pic>
              </a:graphicData>
            </a:graphic>
          </wp:inline>
        </w:drawing>
      </w:r>
      <w:r>
        <w:rPr>
          <w:rFonts w:ascii="仿宋" w:hAnsi="仿宋" w:eastAsia="仿宋"/>
          <w:sz w:val="24"/>
          <w:szCs w:val="24"/>
          <w:highlight w:val="none"/>
        </w:rPr>
        <w:fldChar w:fldCharType="end"/>
      </w:r>
      <w:r>
        <w:rPr>
          <w:rFonts w:ascii="仿宋" w:hAnsi="仿宋" w:eastAsia="仿宋"/>
          <w:sz w:val="24"/>
          <w:highlight w:val="none"/>
        </w:rPr>
        <w:fldChar w:fldCharType="begin"/>
      </w:r>
      <w:r>
        <w:rPr>
          <w:rFonts w:ascii="仿宋" w:hAnsi="仿宋" w:eastAsia="仿宋"/>
          <w:sz w:val="24"/>
          <w:highlight w:val="none"/>
        </w:rPr>
        <w:instrText xml:space="preserve"> INCLUDEPICTURE "C:\\Users\\Lenovo\\AppData\\Local\\Temp\\ksohtml11256\\wps2.jpg" \* MERGEFORMATINET </w:instrText>
      </w:r>
      <w:r>
        <w:rPr>
          <w:rFonts w:ascii="仿宋" w:hAnsi="仿宋" w:eastAsia="仿宋"/>
          <w:sz w:val="24"/>
          <w:highlight w:val="none"/>
        </w:rPr>
        <w:fldChar w:fldCharType="separate"/>
      </w:r>
      <w:r>
        <w:rPr>
          <w:rFonts w:ascii="仿宋" w:hAnsi="仿宋" w:eastAsia="仿宋"/>
          <w:sz w:val="24"/>
          <w:highlight w:val="none"/>
        </w:rPr>
        <w:drawing>
          <wp:inline distT="0" distB="0" distL="114300" distR="114300">
            <wp:extent cx="5796280" cy="3346450"/>
            <wp:effectExtent l="0" t="0" r="13970" b="6350"/>
            <wp:docPr id="4" name="图片 4"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2"/>
                    <pic:cNvPicPr>
                      <a:picLocks noChangeAspect="1"/>
                    </pic:cNvPicPr>
                  </pic:nvPicPr>
                  <pic:blipFill>
                    <a:blip r:embed="rId5"/>
                    <a:stretch>
                      <a:fillRect/>
                    </a:stretch>
                  </pic:blipFill>
                  <pic:spPr>
                    <a:xfrm>
                      <a:off x="0" y="0"/>
                      <a:ext cx="5796280" cy="3346450"/>
                    </a:xfrm>
                    <a:prstGeom prst="rect">
                      <a:avLst/>
                    </a:prstGeom>
                    <a:noFill/>
                    <a:ln>
                      <a:noFill/>
                    </a:ln>
                  </pic:spPr>
                </pic:pic>
              </a:graphicData>
            </a:graphic>
          </wp:inline>
        </w:drawing>
      </w:r>
      <w:r>
        <w:rPr>
          <w:rFonts w:ascii="仿宋" w:hAnsi="仿宋" w:eastAsia="仿宋"/>
          <w:sz w:val="24"/>
          <w:highlight w:val="none"/>
        </w:rPr>
        <w:fldChar w:fldCharType="end"/>
      </w:r>
    </w:p>
    <w:p w14:paraId="7E01F221">
      <w:pPr>
        <w:spacing w:line="480" w:lineRule="auto"/>
        <w:jc w:val="left"/>
        <w:rPr>
          <w:rFonts w:hint="eastAsia" w:ascii="仿宋" w:hAnsi="仿宋" w:eastAsia="仿宋"/>
          <w:b/>
          <w:bCs/>
          <w:kern w:val="44"/>
          <w:sz w:val="24"/>
          <w:szCs w:val="24"/>
          <w:highlight w:val="none"/>
        </w:rPr>
      </w:pPr>
    </w:p>
    <w:p w14:paraId="35071E04">
      <w:pPr>
        <w:pageBreakBefore w:val="0"/>
        <w:widowControl w:val="0"/>
        <w:kinsoku/>
        <w:wordWrap/>
        <w:overflowPunct/>
        <w:topLinePunct w:val="0"/>
        <w:autoSpaceDE/>
        <w:autoSpaceDN/>
        <w:bidi w:val="0"/>
        <w:adjustRightInd/>
        <w:snapToGrid/>
        <w:spacing w:line="400" w:lineRule="exact"/>
        <w:jc w:val="center"/>
        <w:textAlignment w:val="auto"/>
        <w:outlineLvl w:val="1"/>
        <w:rPr>
          <w:rFonts w:hint="default" w:ascii="楷体" w:hAnsi="楷体" w:eastAsia="楷体" w:cs="楷体"/>
          <w:b/>
          <w:bCs/>
          <w:color w:val="000000" w:themeColor="text1"/>
          <w:kern w:val="44"/>
          <w:sz w:val="24"/>
          <w:szCs w:val="24"/>
          <w:highlight w:val="none"/>
          <w:lang w:val="en-US" w:eastAsia="zh-CN" w:bidi="ar-SA"/>
          <w14:textFill>
            <w14:solidFill>
              <w14:schemeClr w14:val="tx1"/>
            </w14:solidFill>
          </w14:textFill>
        </w:rPr>
      </w:pPr>
      <w:r>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t>四、其他文件（报价人认为应提供的其他文件如营业执照等）</w:t>
      </w:r>
    </w:p>
    <w:sectPr>
      <w:pgSz w:w="11906" w:h="16838"/>
      <w:pgMar w:top="1440" w:right="180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E7657"/>
    <w:multiLevelType w:val="singleLevel"/>
    <w:tmpl w:val="9B2E7657"/>
    <w:lvl w:ilvl="0" w:tentative="0">
      <w:start w:val="1"/>
      <w:numFmt w:val="decimal"/>
      <w:suff w:val="nothing"/>
      <w:lvlText w:val="（%1）"/>
      <w:lvlJc w:val="left"/>
    </w:lvl>
  </w:abstractNum>
  <w:abstractNum w:abstractNumId="1">
    <w:nsid w:val="2701F0AD"/>
    <w:multiLevelType w:val="singleLevel"/>
    <w:tmpl w:val="2701F0AD"/>
    <w:lvl w:ilvl="0" w:tentative="0">
      <w:start w:val="1"/>
      <w:numFmt w:val="decimal"/>
      <w:suff w:val="space"/>
      <w:lvlText w:val="%1."/>
      <w:lvlJc w:val="left"/>
      <w:pPr>
        <w:ind w:left="425" w:hanging="425"/>
      </w:pPr>
      <w:rPr>
        <w:rFonts w:hint="default"/>
      </w:rPr>
    </w:lvl>
  </w:abstractNum>
  <w:abstractNum w:abstractNumId="2">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F80D72"/>
    <w:multiLevelType w:val="singleLevel"/>
    <w:tmpl w:val="4FF80D72"/>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5652E"/>
    <w:rsid w:val="0007388E"/>
    <w:rsid w:val="000A07BA"/>
    <w:rsid w:val="000C2EE7"/>
    <w:rsid w:val="0012048B"/>
    <w:rsid w:val="001625F2"/>
    <w:rsid w:val="00165A1D"/>
    <w:rsid w:val="00172A27"/>
    <w:rsid w:val="00256431"/>
    <w:rsid w:val="002D53C0"/>
    <w:rsid w:val="002E3CD7"/>
    <w:rsid w:val="00305FCC"/>
    <w:rsid w:val="004036CE"/>
    <w:rsid w:val="004345E5"/>
    <w:rsid w:val="00445F3F"/>
    <w:rsid w:val="00465E43"/>
    <w:rsid w:val="004B0AF2"/>
    <w:rsid w:val="004F490E"/>
    <w:rsid w:val="00581D8A"/>
    <w:rsid w:val="00590FF7"/>
    <w:rsid w:val="005C3DEF"/>
    <w:rsid w:val="005C75A3"/>
    <w:rsid w:val="005E7B4D"/>
    <w:rsid w:val="00604E52"/>
    <w:rsid w:val="00612820"/>
    <w:rsid w:val="00696F1C"/>
    <w:rsid w:val="007434AE"/>
    <w:rsid w:val="0078304F"/>
    <w:rsid w:val="007E11FF"/>
    <w:rsid w:val="00823B3B"/>
    <w:rsid w:val="0084405B"/>
    <w:rsid w:val="008F0597"/>
    <w:rsid w:val="009027D9"/>
    <w:rsid w:val="009176C7"/>
    <w:rsid w:val="009579B0"/>
    <w:rsid w:val="00960906"/>
    <w:rsid w:val="00971EBC"/>
    <w:rsid w:val="00981CC8"/>
    <w:rsid w:val="009F64F3"/>
    <w:rsid w:val="00A5311F"/>
    <w:rsid w:val="00A741E6"/>
    <w:rsid w:val="00AE02D7"/>
    <w:rsid w:val="00B3767C"/>
    <w:rsid w:val="00B51A55"/>
    <w:rsid w:val="00B72181"/>
    <w:rsid w:val="00B76B04"/>
    <w:rsid w:val="00C55FAD"/>
    <w:rsid w:val="00C84769"/>
    <w:rsid w:val="00CE0085"/>
    <w:rsid w:val="00CE5498"/>
    <w:rsid w:val="00CE6D10"/>
    <w:rsid w:val="00D14A8E"/>
    <w:rsid w:val="00D4048F"/>
    <w:rsid w:val="00D717B5"/>
    <w:rsid w:val="00DA2AE9"/>
    <w:rsid w:val="00E2384C"/>
    <w:rsid w:val="00E512AC"/>
    <w:rsid w:val="00ED7AB7"/>
    <w:rsid w:val="00F30767"/>
    <w:rsid w:val="00F43B19"/>
    <w:rsid w:val="00F97405"/>
    <w:rsid w:val="01007893"/>
    <w:rsid w:val="010166C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615AF"/>
    <w:rsid w:val="024A4D97"/>
    <w:rsid w:val="02601A9E"/>
    <w:rsid w:val="02852330"/>
    <w:rsid w:val="028C773C"/>
    <w:rsid w:val="029810C9"/>
    <w:rsid w:val="029A3510"/>
    <w:rsid w:val="02AC3328"/>
    <w:rsid w:val="02B97306"/>
    <w:rsid w:val="02C62D99"/>
    <w:rsid w:val="02C649F6"/>
    <w:rsid w:val="02D264D3"/>
    <w:rsid w:val="02D62AD3"/>
    <w:rsid w:val="02E77606"/>
    <w:rsid w:val="02F900F0"/>
    <w:rsid w:val="030A27A5"/>
    <w:rsid w:val="030A5E0C"/>
    <w:rsid w:val="03173959"/>
    <w:rsid w:val="03215A31"/>
    <w:rsid w:val="032711A2"/>
    <w:rsid w:val="035C1B9B"/>
    <w:rsid w:val="038C33CC"/>
    <w:rsid w:val="03AE3097"/>
    <w:rsid w:val="03B835CB"/>
    <w:rsid w:val="03D374CA"/>
    <w:rsid w:val="03D7388C"/>
    <w:rsid w:val="03DD306A"/>
    <w:rsid w:val="03E92771"/>
    <w:rsid w:val="04016E45"/>
    <w:rsid w:val="04512A9A"/>
    <w:rsid w:val="045F7637"/>
    <w:rsid w:val="04647342"/>
    <w:rsid w:val="047B2FED"/>
    <w:rsid w:val="04800691"/>
    <w:rsid w:val="04906F0D"/>
    <w:rsid w:val="049727D9"/>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766D7"/>
    <w:rsid w:val="05800CAE"/>
    <w:rsid w:val="05964237"/>
    <w:rsid w:val="05A07863"/>
    <w:rsid w:val="05AA0535"/>
    <w:rsid w:val="05BA56F5"/>
    <w:rsid w:val="05C00463"/>
    <w:rsid w:val="05CA70D4"/>
    <w:rsid w:val="05EF1B36"/>
    <w:rsid w:val="05F7537D"/>
    <w:rsid w:val="063D3E8F"/>
    <w:rsid w:val="063E4AA0"/>
    <w:rsid w:val="06456A8C"/>
    <w:rsid w:val="064F2365"/>
    <w:rsid w:val="06606BFB"/>
    <w:rsid w:val="066958C6"/>
    <w:rsid w:val="066B1C96"/>
    <w:rsid w:val="06B0129E"/>
    <w:rsid w:val="06B81D95"/>
    <w:rsid w:val="06D12E83"/>
    <w:rsid w:val="06EE69EC"/>
    <w:rsid w:val="06F82B7E"/>
    <w:rsid w:val="07571D11"/>
    <w:rsid w:val="07826A4B"/>
    <w:rsid w:val="0786439E"/>
    <w:rsid w:val="07A7438A"/>
    <w:rsid w:val="07BF12C2"/>
    <w:rsid w:val="07C6738E"/>
    <w:rsid w:val="07E74A05"/>
    <w:rsid w:val="084F59DE"/>
    <w:rsid w:val="08667051"/>
    <w:rsid w:val="087D7EB4"/>
    <w:rsid w:val="088038FF"/>
    <w:rsid w:val="08816951"/>
    <w:rsid w:val="08852E3A"/>
    <w:rsid w:val="08B140CE"/>
    <w:rsid w:val="08B54AD9"/>
    <w:rsid w:val="08BC212A"/>
    <w:rsid w:val="08C3763E"/>
    <w:rsid w:val="08C506E5"/>
    <w:rsid w:val="08C52D6F"/>
    <w:rsid w:val="08C90469"/>
    <w:rsid w:val="08E46EA7"/>
    <w:rsid w:val="08F700C6"/>
    <w:rsid w:val="090B6406"/>
    <w:rsid w:val="0914155A"/>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1A10"/>
    <w:rsid w:val="0A484CEC"/>
    <w:rsid w:val="0A5E145B"/>
    <w:rsid w:val="0A64281B"/>
    <w:rsid w:val="0A840B51"/>
    <w:rsid w:val="0A8B04DC"/>
    <w:rsid w:val="0A9F717D"/>
    <w:rsid w:val="0AA9161C"/>
    <w:rsid w:val="0AAD3BA1"/>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6E5BE8"/>
    <w:rsid w:val="0C885FA2"/>
    <w:rsid w:val="0C8E389C"/>
    <w:rsid w:val="0CA47578"/>
    <w:rsid w:val="0CA965DD"/>
    <w:rsid w:val="0CBF4BF8"/>
    <w:rsid w:val="0CCD0C4F"/>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74CC9"/>
    <w:rsid w:val="0F1966EA"/>
    <w:rsid w:val="0F262DE9"/>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A4B1F"/>
    <w:rsid w:val="10AC5865"/>
    <w:rsid w:val="10AE3B69"/>
    <w:rsid w:val="10AF15EB"/>
    <w:rsid w:val="10B45A32"/>
    <w:rsid w:val="10BD5581"/>
    <w:rsid w:val="10C478D1"/>
    <w:rsid w:val="10C932F0"/>
    <w:rsid w:val="10D91E0A"/>
    <w:rsid w:val="10E80C92"/>
    <w:rsid w:val="10F11A11"/>
    <w:rsid w:val="11105771"/>
    <w:rsid w:val="111E5122"/>
    <w:rsid w:val="112315AA"/>
    <w:rsid w:val="11236961"/>
    <w:rsid w:val="112D573C"/>
    <w:rsid w:val="112E2B27"/>
    <w:rsid w:val="11352AC3"/>
    <w:rsid w:val="114C5FF1"/>
    <w:rsid w:val="115241D9"/>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0A3958"/>
    <w:rsid w:val="12111232"/>
    <w:rsid w:val="122F07E2"/>
    <w:rsid w:val="12697AD8"/>
    <w:rsid w:val="12974DAB"/>
    <w:rsid w:val="129B7938"/>
    <w:rsid w:val="12AB39AF"/>
    <w:rsid w:val="12CF6944"/>
    <w:rsid w:val="12D05063"/>
    <w:rsid w:val="12D31474"/>
    <w:rsid w:val="12F266AE"/>
    <w:rsid w:val="12FE713F"/>
    <w:rsid w:val="130377D4"/>
    <w:rsid w:val="13191A65"/>
    <w:rsid w:val="1322619E"/>
    <w:rsid w:val="133B4F6A"/>
    <w:rsid w:val="13435E6F"/>
    <w:rsid w:val="13581549"/>
    <w:rsid w:val="13795301"/>
    <w:rsid w:val="13AA5006"/>
    <w:rsid w:val="13B103E8"/>
    <w:rsid w:val="13B43E61"/>
    <w:rsid w:val="13BB7800"/>
    <w:rsid w:val="13DF1642"/>
    <w:rsid w:val="13E65C0E"/>
    <w:rsid w:val="13FC2057"/>
    <w:rsid w:val="14191607"/>
    <w:rsid w:val="141B0D1A"/>
    <w:rsid w:val="141E3E26"/>
    <w:rsid w:val="1425541A"/>
    <w:rsid w:val="14517563"/>
    <w:rsid w:val="145233B5"/>
    <w:rsid w:val="14891FF9"/>
    <w:rsid w:val="14A37DD1"/>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2763A"/>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C90AA4"/>
    <w:rsid w:val="17CE5ABA"/>
    <w:rsid w:val="17D54619"/>
    <w:rsid w:val="17DE2FB7"/>
    <w:rsid w:val="17DE4D47"/>
    <w:rsid w:val="17EB1C10"/>
    <w:rsid w:val="18136FA0"/>
    <w:rsid w:val="18143491"/>
    <w:rsid w:val="181D6EA6"/>
    <w:rsid w:val="18492EF0"/>
    <w:rsid w:val="185254F4"/>
    <w:rsid w:val="185C5F13"/>
    <w:rsid w:val="185E6D88"/>
    <w:rsid w:val="18740F2C"/>
    <w:rsid w:val="187939A8"/>
    <w:rsid w:val="187E50BF"/>
    <w:rsid w:val="188B0B51"/>
    <w:rsid w:val="18A2459B"/>
    <w:rsid w:val="18A50454"/>
    <w:rsid w:val="18C36111"/>
    <w:rsid w:val="18DE2ED2"/>
    <w:rsid w:val="18E06F8D"/>
    <w:rsid w:val="18E21560"/>
    <w:rsid w:val="18EB5025"/>
    <w:rsid w:val="19025614"/>
    <w:rsid w:val="190742CD"/>
    <w:rsid w:val="190D36A9"/>
    <w:rsid w:val="19304DCF"/>
    <w:rsid w:val="19442175"/>
    <w:rsid w:val="194476BE"/>
    <w:rsid w:val="1955782F"/>
    <w:rsid w:val="196F44CB"/>
    <w:rsid w:val="19723BF7"/>
    <w:rsid w:val="197A134F"/>
    <w:rsid w:val="197E4D27"/>
    <w:rsid w:val="198E78C5"/>
    <w:rsid w:val="19A857BB"/>
    <w:rsid w:val="19BA37C2"/>
    <w:rsid w:val="19D94D82"/>
    <w:rsid w:val="19DC2ECA"/>
    <w:rsid w:val="19E35721"/>
    <w:rsid w:val="19ED6C41"/>
    <w:rsid w:val="19FE7107"/>
    <w:rsid w:val="1A1C1CE5"/>
    <w:rsid w:val="1A234EFA"/>
    <w:rsid w:val="1A4E5D2F"/>
    <w:rsid w:val="1A6626E5"/>
    <w:rsid w:val="1A75575B"/>
    <w:rsid w:val="1A7D0090"/>
    <w:rsid w:val="1AB319BE"/>
    <w:rsid w:val="1AD4393F"/>
    <w:rsid w:val="1AD77563"/>
    <w:rsid w:val="1AD9287F"/>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4231EC"/>
    <w:rsid w:val="1C43753B"/>
    <w:rsid w:val="1C4E11FC"/>
    <w:rsid w:val="1C56219C"/>
    <w:rsid w:val="1C7A4040"/>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4C05A6"/>
    <w:rsid w:val="1D510BDB"/>
    <w:rsid w:val="1D551DAF"/>
    <w:rsid w:val="1D5B3CB8"/>
    <w:rsid w:val="1D8C3CD3"/>
    <w:rsid w:val="1DA1569E"/>
    <w:rsid w:val="1DBE5F86"/>
    <w:rsid w:val="1DD57D7F"/>
    <w:rsid w:val="1DD8126E"/>
    <w:rsid w:val="1E0740A2"/>
    <w:rsid w:val="1E0A51EF"/>
    <w:rsid w:val="1E48458C"/>
    <w:rsid w:val="1E552FF2"/>
    <w:rsid w:val="1E5A3B65"/>
    <w:rsid w:val="1E5D4FF0"/>
    <w:rsid w:val="1E6C14AB"/>
    <w:rsid w:val="1E9F5C7C"/>
    <w:rsid w:val="1E9F669B"/>
    <w:rsid w:val="1EA254C4"/>
    <w:rsid w:val="1EAC26C2"/>
    <w:rsid w:val="1ECF001D"/>
    <w:rsid w:val="1EDC0931"/>
    <w:rsid w:val="1EF06925"/>
    <w:rsid w:val="1EF85EBB"/>
    <w:rsid w:val="1F2A5C8F"/>
    <w:rsid w:val="1F3F7F12"/>
    <w:rsid w:val="1F512953"/>
    <w:rsid w:val="1F550E6F"/>
    <w:rsid w:val="1F647CCA"/>
    <w:rsid w:val="1F6D7F66"/>
    <w:rsid w:val="1F6E7EA0"/>
    <w:rsid w:val="1F873CBF"/>
    <w:rsid w:val="1FA173F5"/>
    <w:rsid w:val="1FA94802"/>
    <w:rsid w:val="1FC67503"/>
    <w:rsid w:val="1FCB738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D00624"/>
    <w:rsid w:val="20F64A35"/>
    <w:rsid w:val="20FA3CE2"/>
    <w:rsid w:val="210D1A49"/>
    <w:rsid w:val="211C305E"/>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C7DBD"/>
    <w:rsid w:val="229E1AD7"/>
    <w:rsid w:val="22B51B4C"/>
    <w:rsid w:val="22E753A0"/>
    <w:rsid w:val="22F11013"/>
    <w:rsid w:val="23026758"/>
    <w:rsid w:val="23156A1D"/>
    <w:rsid w:val="2316669C"/>
    <w:rsid w:val="231B3959"/>
    <w:rsid w:val="23372454"/>
    <w:rsid w:val="2342170A"/>
    <w:rsid w:val="237770F1"/>
    <w:rsid w:val="2379093F"/>
    <w:rsid w:val="237D5522"/>
    <w:rsid w:val="237E49F2"/>
    <w:rsid w:val="237F088B"/>
    <w:rsid w:val="238E3920"/>
    <w:rsid w:val="239D2E24"/>
    <w:rsid w:val="239E0EFF"/>
    <w:rsid w:val="23B25C43"/>
    <w:rsid w:val="23BC668F"/>
    <w:rsid w:val="23CD03C9"/>
    <w:rsid w:val="23D0134E"/>
    <w:rsid w:val="23D14BD1"/>
    <w:rsid w:val="23D45A1D"/>
    <w:rsid w:val="23DC20B6"/>
    <w:rsid w:val="23DC5161"/>
    <w:rsid w:val="23E06F49"/>
    <w:rsid w:val="24160D4E"/>
    <w:rsid w:val="24217E53"/>
    <w:rsid w:val="243079AF"/>
    <w:rsid w:val="24364576"/>
    <w:rsid w:val="24431996"/>
    <w:rsid w:val="24470093"/>
    <w:rsid w:val="244A129E"/>
    <w:rsid w:val="244E01E1"/>
    <w:rsid w:val="24523F05"/>
    <w:rsid w:val="246A4D03"/>
    <w:rsid w:val="246B5060"/>
    <w:rsid w:val="247D4CEA"/>
    <w:rsid w:val="24CB43A2"/>
    <w:rsid w:val="24D136EA"/>
    <w:rsid w:val="250C526B"/>
    <w:rsid w:val="252044A2"/>
    <w:rsid w:val="25255746"/>
    <w:rsid w:val="25431230"/>
    <w:rsid w:val="255514E0"/>
    <w:rsid w:val="256453DD"/>
    <w:rsid w:val="25654636"/>
    <w:rsid w:val="2569146F"/>
    <w:rsid w:val="25783AE7"/>
    <w:rsid w:val="2592010F"/>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608B7"/>
    <w:rsid w:val="26583602"/>
    <w:rsid w:val="26627AEB"/>
    <w:rsid w:val="267473A3"/>
    <w:rsid w:val="267D7CB3"/>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22F4C"/>
    <w:rsid w:val="28387423"/>
    <w:rsid w:val="28462B22"/>
    <w:rsid w:val="284D5F37"/>
    <w:rsid w:val="285E4DC9"/>
    <w:rsid w:val="285F0605"/>
    <w:rsid w:val="28995E80"/>
    <w:rsid w:val="28A30F77"/>
    <w:rsid w:val="28A50C64"/>
    <w:rsid w:val="28C22923"/>
    <w:rsid w:val="28E02D20"/>
    <w:rsid w:val="28F7549E"/>
    <w:rsid w:val="290563D8"/>
    <w:rsid w:val="29203333"/>
    <w:rsid w:val="2921752B"/>
    <w:rsid w:val="293811B0"/>
    <w:rsid w:val="294C13AE"/>
    <w:rsid w:val="295A5561"/>
    <w:rsid w:val="295B2CB4"/>
    <w:rsid w:val="296807F2"/>
    <w:rsid w:val="29937334"/>
    <w:rsid w:val="29956C0B"/>
    <w:rsid w:val="29A739E3"/>
    <w:rsid w:val="29B061E1"/>
    <w:rsid w:val="29D76730"/>
    <w:rsid w:val="29D97869"/>
    <w:rsid w:val="2A193F65"/>
    <w:rsid w:val="2A2475EF"/>
    <w:rsid w:val="2A567C96"/>
    <w:rsid w:val="2A5C3505"/>
    <w:rsid w:val="2A8320CC"/>
    <w:rsid w:val="2A9867EE"/>
    <w:rsid w:val="2AA6741A"/>
    <w:rsid w:val="2AE35882"/>
    <w:rsid w:val="2B1B6DC7"/>
    <w:rsid w:val="2B251E53"/>
    <w:rsid w:val="2B4D78BA"/>
    <w:rsid w:val="2B585E70"/>
    <w:rsid w:val="2B5B4633"/>
    <w:rsid w:val="2B9424ED"/>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01639"/>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3424AE"/>
    <w:rsid w:val="2E81295C"/>
    <w:rsid w:val="2E855ADF"/>
    <w:rsid w:val="2E90145A"/>
    <w:rsid w:val="2E9B555A"/>
    <w:rsid w:val="2EA15034"/>
    <w:rsid w:val="2EC47C6B"/>
    <w:rsid w:val="2EE161F9"/>
    <w:rsid w:val="2EE267D3"/>
    <w:rsid w:val="2EEE550E"/>
    <w:rsid w:val="2EFA1321"/>
    <w:rsid w:val="2F0C123B"/>
    <w:rsid w:val="2F104EF5"/>
    <w:rsid w:val="2F241D9C"/>
    <w:rsid w:val="2F483A05"/>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414A5E"/>
    <w:rsid w:val="3146420E"/>
    <w:rsid w:val="314D2FF9"/>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92E84"/>
    <w:rsid w:val="327970B9"/>
    <w:rsid w:val="327D03EF"/>
    <w:rsid w:val="32A56CF0"/>
    <w:rsid w:val="32A73FA5"/>
    <w:rsid w:val="32C42CAC"/>
    <w:rsid w:val="32CB5B56"/>
    <w:rsid w:val="32DA6A91"/>
    <w:rsid w:val="32E06A79"/>
    <w:rsid w:val="32E12CEE"/>
    <w:rsid w:val="32F02819"/>
    <w:rsid w:val="32F9052C"/>
    <w:rsid w:val="32FB3E09"/>
    <w:rsid w:val="33121AA1"/>
    <w:rsid w:val="3317335F"/>
    <w:rsid w:val="331A4072"/>
    <w:rsid w:val="3332073B"/>
    <w:rsid w:val="333F77DD"/>
    <w:rsid w:val="33650EE0"/>
    <w:rsid w:val="33814278"/>
    <w:rsid w:val="33823F70"/>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9476D9"/>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8C575A"/>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827389"/>
    <w:rsid w:val="38A464F9"/>
    <w:rsid w:val="38AC3066"/>
    <w:rsid w:val="38AC436C"/>
    <w:rsid w:val="38B87B6E"/>
    <w:rsid w:val="38BF0F3E"/>
    <w:rsid w:val="38C95ED9"/>
    <w:rsid w:val="38CA300C"/>
    <w:rsid w:val="38D06594"/>
    <w:rsid w:val="38E060F1"/>
    <w:rsid w:val="38FC7121"/>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27E52"/>
    <w:rsid w:val="3A5F45D1"/>
    <w:rsid w:val="3A770DAD"/>
    <w:rsid w:val="3A8227E5"/>
    <w:rsid w:val="3A913A89"/>
    <w:rsid w:val="3AB013BF"/>
    <w:rsid w:val="3AB6148B"/>
    <w:rsid w:val="3AB82B8A"/>
    <w:rsid w:val="3AD7234B"/>
    <w:rsid w:val="3ADE1AD5"/>
    <w:rsid w:val="3AE56805"/>
    <w:rsid w:val="3B132590"/>
    <w:rsid w:val="3B213C83"/>
    <w:rsid w:val="3B3B6D13"/>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03974"/>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673"/>
    <w:rsid w:val="3E515C8A"/>
    <w:rsid w:val="3E596005"/>
    <w:rsid w:val="3E833A1C"/>
    <w:rsid w:val="3E986A62"/>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01E14"/>
    <w:rsid w:val="402F14D9"/>
    <w:rsid w:val="40477AD1"/>
    <w:rsid w:val="405A6E88"/>
    <w:rsid w:val="405B2D35"/>
    <w:rsid w:val="406608CC"/>
    <w:rsid w:val="406C1FA6"/>
    <w:rsid w:val="407630B7"/>
    <w:rsid w:val="407B0128"/>
    <w:rsid w:val="407E43D4"/>
    <w:rsid w:val="40873868"/>
    <w:rsid w:val="40902190"/>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3773BA"/>
    <w:rsid w:val="42386C01"/>
    <w:rsid w:val="423A336B"/>
    <w:rsid w:val="424E1D6E"/>
    <w:rsid w:val="4252254E"/>
    <w:rsid w:val="425B59EA"/>
    <w:rsid w:val="425D2BCC"/>
    <w:rsid w:val="42937CAF"/>
    <w:rsid w:val="4298644F"/>
    <w:rsid w:val="429E6876"/>
    <w:rsid w:val="42AD2B71"/>
    <w:rsid w:val="42BC56D0"/>
    <w:rsid w:val="430168B8"/>
    <w:rsid w:val="430C159E"/>
    <w:rsid w:val="431C0FD8"/>
    <w:rsid w:val="431F3C04"/>
    <w:rsid w:val="432C69BC"/>
    <w:rsid w:val="434C484C"/>
    <w:rsid w:val="4377327F"/>
    <w:rsid w:val="43904469"/>
    <w:rsid w:val="43933CA0"/>
    <w:rsid w:val="43A82FD5"/>
    <w:rsid w:val="43B91DAA"/>
    <w:rsid w:val="43C83510"/>
    <w:rsid w:val="44081F09"/>
    <w:rsid w:val="440A2F83"/>
    <w:rsid w:val="441901BE"/>
    <w:rsid w:val="445C5D26"/>
    <w:rsid w:val="446E1F07"/>
    <w:rsid w:val="448B2102"/>
    <w:rsid w:val="449900F5"/>
    <w:rsid w:val="44A4522B"/>
    <w:rsid w:val="44B17003"/>
    <w:rsid w:val="44FF5319"/>
    <w:rsid w:val="451F55A0"/>
    <w:rsid w:val="45210077"/>
    <w:rsid w:val="453C7D64"/>
    <w:rsid w:val="453F7628"/>
    <w:rsid w:val="45403E4D"/>
    <w:rsid w:val="454050A9"/>
    <w:rsid w:val="45407AB5"/>
    <w:rsid w:val="459704A1"/>
    <w:rsid w:val="45A50F46"/>
    <w:rsid w:val="45B11EE5"/>
    <w:rsid w:val="45B95841"/>
    <w:rsid w:val="45C20E9E"/>
    <w:rsid w:val="45D95AA6"/>
    <w:rsid w:val="45DA3724"/>
    <w:rsid w:val="45FA6EE8"/>
    <w:rsid w:val="461D4A97"/>
    <w:rsid w:val="461F40D3"/>
    <w:rsid w:val="4646705B"/>
    <w:rsid w:val="46513FED"/>
    <w:rsid w:val="468C02FD"/>
    <w:rsid w:val="469446D6"/>
    <w:rsid w:val="469A39EA"/>
    <w:rsid w:val="46AB2646"/>
    <w:rsid w:val="46B01C29"/>
    <w:rsid w:val="46CA1E85"/>
    <w:rsid w:val="46E37D9E"/>
    <w:rsid w:val="46EE42DF"/>
    <w:rsid w:val="46FE3D85"/>
    <w:rsid w:val="470C633F"/>
    <w:rsid w:val="471A3FBC"/>
    <w:rsid w:val="47271E3C"/>
    <w:rsid w:val="47372735"/>
    <w:rsid w:val="475F0927"/>
    <w:rsid w:val="47AB7402"/>
    <w:rsid w:val="47AC276C"/>
    <w:rsid w:val="47AD05EC"/>
    <w:rsid w:val="47AD2D46"/>
    <w:rsid w:val="47E24779"/>
    <w:rsid w:val="47FD0920"/>
    <w:rsid w:val="48113E7C"/>
    <w:rsid w:val="48136734"/>
    <w:rsid w:val="48141AAF"/>
    <w:rsid w:val="481B3258"/>
    <w:rsid w:val="482728EE"/>
    <w:rsid w:val="483F0D04"/>
    <w:rsid w:val="485830BD"/>
    <w:rsid w:val="485C3C19"/>
    <w:rsid w:val="48761FF4"/>
    <w:rsid w:val="488D33C5"/>
    <w:rsid w:val="489E3831"/>
    <w:rsid w:val="48A82E66"/>
    <w:rsid w:val="48B71159"/>
    <w:rsid w:val="48CB3FD3"/>
    <w:rsid w:val="48CE3A51"/>
    <w:rsid w:val="48E13ECD"/>
    <w:rsid w:val="48EB1726"/>
    <w:rsid w:val="48FF78DE"/>
    <w:rsid w:val="49005408"/>
    <w:rsid w:val="49242E99"/>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44CD1"/>
    <w:rsid w:val="4AEE52AC"/>
    <w:rsid w:val="4AF41787"/>
    <w:rsid w:val="4B0444D9"/>
    <w:rsid w:val="4B13279D"/>
    <w:rsid w:val="4B244C8F"/>
    <w:rsid w:val="4B5936AA"/>
    <w:rsid w:val="4B5C462F"/>
    <w:rsid w:val="4B5D1EF4"/>
    <w:rsid w:val="4B5F55B3"/>
    <w:rsid w:val="4B6D0492"/>
    <w:rsid w:val="4B6D785E"/>
    <w:rsid w:val="4B745E42"/>
    <w:rsid w:val="4B8735C1"/>
    <w:rsid w:val="4B8F2DC3"/>
    <w:rsid w:val="4B9E091B"/>
    <w:rsid w:val="4BB250A2"/>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0130D9"/>
    <w:rsid w:val="4D185106"/>
    <w:rsid w:val="4D22443E"/>
    <w:rsid w:val="4D2401EC"/>
    <w:rsid w:val="4D316B33"/>
    <w:rsid w:val="4D321DC9"/>
    <w:rsid w:val="4D590BF1"/>
    <w:rsid w:val="4D68550E"/>
    <w:rsid w:val="4D6B1F05"/>
    <w:rsid w:val="4D8718F8"/>
    <w:rsid w:val="4D8D402F"/>
    <w:rsid w:val="4DA9749E"/>
    <w:rsid w:val="4DB0685E"/>
    <w:rsid w:val="4DBC1DFB"/>
    <w:rsid w:val="4DBD4199"/>
    <w:rsid w:val="4DC12B9F"/>
    <w:rsid w:val="4DD36A02"/>
    <w:rsid w:val="4DE44058"/>
    <w:rsid w:val="4DE4442C"/>
    <w:rsid w:val="4E0D0A85"/>
    <w:rsid w:val="4E100AB2"/>
    <w:rsid w:val="4E233B3D"/>
    <w:rsid w:val="4E5236EF"/>
    <w:rsid w:val="4E6B078B"/>
    <w:rsid w:val="4E8D4700"/>
    <w:rsid w:val="4EA07AD7"/>
    <w:rsid w:val="4EBD3D3C"/>
    <w:rsid w:val="4EC36A56"/>
    <w:rsid w:val="4EED4CCC"/>
    <w:rsid w:val="4EF07430"/>
    <w:rsid w:val="4F0831DA"/>
    <w:rsid w:val="4F0B36E6"/>
    <w:rsid w:val="4F3E6166"/>
    <w:rsid w:val="4F5178A3"/>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A9568C"/>
    <w:rsid w:val="50B6517B"/>
    <w:rsid w:val="50F04F55"/>
    <w:rsid w:val="512A3E35"/>
    <w:rsid w:val="51413A5A"/>
    <w:rsid w:val="51415D27"/>
    <w:rsid w:val="51471667"/>
    <w:rsid w:val="514D4018"/>
    <w:rsid w:val="51596572"/>
    <w:rsid w:val="517F4BC4"/>
    <w:rsid w:val="51A20030"/>
    <w:rsid w:val="51A73B0A"/>
    <w:rsid w:val="51C407B0"/>
    <w:rsid w:val="51C615D4"/>
    <w:rsid w:val="51CB0037"/>
    <w:rsid w:val="51E84F86"/>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86EE4"/>
    <w:rsid w:val="5339007E"/>
    <w:rsid w:val="535C76C6"/>
    <w:rsid w:val="53637DCA"/>
    <w:rsid w:val="537257C5"/>
    <w:rsid w:val="53A157B9"/>
    <w:rsid w:val="53B85768"/>
    <w:rsid w:val="53BA2E6A"/>
    <w:rsid w:val="53C33CD8"/>
    <w:rsid w:val="53C43BC7"/>
    <w:rsid w:val="53D61973"/>
    <w:rsid w:val="53DF5628"/>
    <w:rsid w:val="53F6304F"/>
    <w:rsid w:val="53FD0BB2"/>
    <w:rsid w:val="5425031B"/>
    <w:rsid w:val="54534028"/>
    <w:rsid w:val="54537B65"/>
    <w:rsid w:val="545E27DF"/>
    <w:rsid w:val="54843BB7"/>
    <w:rsid w:val="54FB4AFB"/>
    <w:rsid w:val="55402408"/>
    <w:rsid w:val="55413F6A"/>
    <w:rsid w:val="5553267F"/>
    <w:rsid w:val="55584384"/>
    <w:rsid w:val="555A26FB"/>
    <w:rsid w:val="5570591E"/>
    <w:rsid w:val="55934C35"/>
    <w:rsid w:val="559B18F9"/>
    <w:rsid w:val="55A84C13"/>
    <w:rsid w:val="55E8288A"/>
    <w:rsid w:val="55F310CC"/>
    <w:rsid w:val="55F70216"/>
    <w:rsid w:val="56013ABB"/>
    <w:rsid w:val="563D4EBF"/>
    <w:rsid w:val="565A2562"/>
    <w:rsid w:val="565B7F3A"/>
    <w:rsid w:val="5665084A"/>
    <w:rsid w:val="56834D00"/>
    <w:rsid w:val="568432FD"/>
    <w:rsid w:val="568C4C53"/>
    <w:rsid w:val="569430D1"/>
    <w:rsid w:val="56945527"/>
    <w:rsid w:val="56A207E4"/>
    <w:rsid w:val="56A516E6"/>
    <w:rsid w:val="56A66BBF"/>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8020A"/>
    <w:rsid w:val="57D10DA1"/>
    <w:rsid w:val="580B2677"/>
    <w:rsid w:val="580C7901"/>
    <w:rsid w:val="58160449"/>
    <w:rsid w:val="582721E3"/>
    <w:rsid w:val="583D1F4B"/>
    <w:rsid w:val="5841015B"/>
    <w:rsid w:val="584717BE"/>
    <w:rsid w:val="5860518C"/>
    <w:rsid w:val="586256A7"/>
    <w:rsid w:val="586E207E"/>
    <w:rsid w:val="58840844"/>
    <w:rsid w:val="588E31D9"/>
    <w:rsid w:val="589C3163"/>
    <w:rsid w:val="58A310F9"/>
    <w:rsid w:val="58A42014"/>
    <w:rsid w:val="58D91F55"/>
    <w:rsid w:val="58E53F4D"/>
    <w:rsid w:val="59144198"/>
    <w:rsid w:val="5943175D"/>
    <w:rsid w:val="59456704"/>
    <w:rsid w:val="5950021B"/>
    <w:rsid w:val="59502516"/>
    <w:rsid w:val="5955281D"/>
    <w:rsid w:val="59A26A9D"/>
    <w:rsid w:val="59B014A3"/>
    <w:rsid w:val="59B05DB3"/>
    <w:rsid w:val="59D04D4F"/>
    <w:rsid w:val="59D51EEC"/>
    <w:rsid w:val="59DA6BF7"/>
    <w:rsid w:val="59E37225"/>
    <w:rsid w:val="5A0C6784"/>
    <w:rsid w:val="5A23201D"/>
    <w:rsid w:val="5A2921FA"/>
    <w:rsid w:val="5A2E6699"/>
    <w:rsid w:val="5A4B01B0"/>
    <w:rsid w:val="5A4B611D"/>
    <w:rsid w:val="5A4D3444"/>
    <w:rsid w:val="5A5C0A61"/>
    <w:rsid w:val="5A682201"/>
    <w:rsid w:val="5A6F65C2"/>
    <w:rsid w:val="5A7F4A16"/>
    <w:rsid w:val="5A8B4626"/>
    <w:rsid w:val="5AA453D4"/>
    <w:rsid w:val="5AB4402F"/>
    <w:rsid w:val="5AEA1628"/>
    <w:rsid w:val="5AF63138"/>
    <w:rsid w:val="5AF7549A"/>
    <w:rsid w:val="5AFF3461"/>
    <w:rsid w:val="5B141A61"/>
    <w:rsid w:val="5B1E41F8"/>
    <w:rsid w:val="5B1E6E24"/>
    <w:rsid w:val="5B2118F7"/>
    <w:rsid w:val="5B4C1057"/>
    <w:rsid w:val="5B603D7C"/>
    <w:rsid w:val="5B6360E6"/>
    <w:rsid w:val="5B6D0E90"/>
    <w:rsid w:val="5B885541"/>
    <w:rsid w:val="5B9337F3"/>
    <w:rsid w:val="5BC16969"/>
    <w:rsid w:val="5BD777E6"/>
    <w:rsid w:val="5C122D5E"/>
    <w:rsid w:val="5C330BCF"/>
    <w:rsid w:val="5C733038"/>
    <w:rsid w:val="5C737D2C"/>
    <w:rsid w:val="5C7E6E4B"/>
    <w:rsid w:val="5C817DEC"/>
    <w:rsid w:val="5C8F2968"/>
    <w:rsid w:val="5C9A2097"/>
    <w:rsid w:val="5CAB6A15"/>
    <w:rsid w:val="5CAC7202"/>
    <w:rsid w:val="5CB26DE8"/>
    <w:rsid w:val="5CC16D61"/>
    <w:rsid w:val="5CD21B5F"/>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D02CB1"/>
    <w:rsid w:val="5DE35818"/>
    <w:rsid w:val="5DEA5196"/>
    <w:rsid w:val="5DFB71CE"/>
    <w:rsid w:val="5E3E5798"/>
    <w:rsid w:val="5E7B3AF8"/>
    <w:rsid w:val="5E7D703F"/>
    <w:rsid w:val="5E8A14A9"/>
    <w:rsid w:val="5E952F92"/>
    <w:rsid w:val="5EB804F7"/>
    <w:rsid w:val="5EC41684"/>
    <w:rsid w:val="5EDB3C26"/>
    <w:rsid w:val="5F1C698C"/>
    <w:rsid w:val="5F2E10CF"/>
    <w:rsid w:val="5F393BBF"/>
    <w:rsid w:val="5F503E46"/>
    <w:rsid w:val="5F5825D3"/>
    <w:rsid w:val="5F6B6599"/>
    <w:rsid w:val="5FB07830"/>
    <w:rsid w:val="5FB15CCE"/>
    <w:rsid w:val="5FB50E97"/>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8E6146"/>
    <w:rsid w:val="6090766B"/>
    <w:rsid w:val="60990088"/>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407E6"/>
    <w:rsid w:val="61C77DA0"/>
    <w:rsid w:val="61D07906"/>
    <w:rsid w:val="61E345CA"/>
    <w:rsid w:val="61E53994"/>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4CF321D"/>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C703FA"/>
    <w:rsid w:val="68DC3063"/>
    <w:rsid w:val="68E1201D"/>
    <w:rsid w:val="68EB3277"/>
    <w:rsid w:val="68EC0422"/>
    <w:rsid w:val="6923694C"/>
    <w:rsid w:val="69237EF2"/>
    <w:rsid w:val="69241843"/>
    <w:rsid w:val="693115D2"/>
    <w:rsid w:val="69374121"/>
    <w:rsid w:val="695D1FE3"/>
    <w:rsid w:val="696714E2"/>
    <w:rsid w:val="6969738E"/>
    <w:rsid w:val="69725190"/>
    <w:rsid w:val="697A1E70"/>
    <w:rsid w:val="69840D94"/>
    <w:rsid w:val="698A6FB3"/>
    <w:rsid w:val="69966649"/>
    <w:rsid w:val="69DE4130"/>
    <w:rsid w:val="6A0016F1"/>
    <w:rsid w:val="6A373BFC"/>
    <w:rsid w:val="6A7449B2"/>
    <w:rsid w:val="6A9929F4"/>
    <w:rsid w:val="6ACB2E33"/>
    <w:rsid w:val="6ACC52E9"/>
    <w:rsid w:val="6ACF763D"/>
    <w:rsid w:val="6AD63A5F"/>
    <w:rsid w:val="6AE01CC6"/>
    <w:rsid w:val="6AED54C5"/>
    <w:rsid w:val="6B2A231E"/>
    <w:rsid w:val="6B2E7664"/>
    <w:rsid w:val="6B304E05"/>
    <w:rsid w:val="6B420F6B"/>
    <w:rsid w:val="6B586ED0"/>
    <w:rsid w:val="6B940900"/>
    <w:rsid w:val="6B9659D1"/>
    <w:rsid w:val="6B992596"/>
    <w:rsid w:val="6BA40927"/>
    <w:rsid w:val="6BAC5136"/>
    <w:rsid w:val="6BB37DB8"/>
    <w:rsid w:val="6BB82D4B"/>
    <w:rsid w:val="6BBC4E35"/>
    <w:rsid w:val="6BC37142"/>
    <w:rsid w:val="6BC859EC"/>
    <w:rsid w:val="6BCB1147"/>
    <w:rsid w:val="6BF16ADA"/>
    <w:rsid w:val="6C0B4072"/>
    <w:rsid w:val="6C0C3C30"/>
    <w:rsid w:val="6C105A58"/>
    <w:rsid w:val="6C1364EE"/>
    <w:rsid w:val="6C223623"/>
    <w:rsid w:val="6C2B3181"/>
    <w:rsid w:val="6C895159"/>
    <w:rsid w:val="6CD00E99"/>
    <w:rsid w:val="6CEF2A56"/>
    <w:rsid w:val="6D1D2712"/>
    <w:rsid w:val="6D1E0E11"/>
    <w:rsid w:val="6D205895"/>
    <w:rsid w:val="6D2C40DA"/>
    <w:rsid w:val="6D711158"/>
    <w:rsid w:val="6D717C1E"/>
    <w:rsid w:val="6D7C7BAA"/>
    <w:rsid w:val="6D8433BC"/>
    <w:rsid w:val="6D8455BA"/>
    <w:rsid w:val="6D920153"/>
    <w:rsid w:val="6DA16A1C"/>
    <w:rsid w:val="6DA72D47"/>
    <w:rsid w:val="6DAF1C81"/>
    <w:rsid w:val="6DAF4A1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E113A4"/>
    <w:rsid w:val="6EF967A0"/>
    <w:rsid w:val="6EFD396C"/>
    <w:rsid w:val="6F0674FF"/>
    <w:rsid w:val="6F2F0E79"/>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35361"/>
    <w:rsid w:val="71155816"/>
    <w:rsid w:val="712041AC"/>
    <w:rsid w:val="712B420C"/>
    <w:rsid w:val="713A694F"/>
    <w:rsid w:val="713C1E52"/>
    <w:rsid w:val="7140235F"/>
    <w:rsid w:val="7144725F"/>
    <w:rsid w:val="71633397"/>
    <w:rsid w:val="717133FA"/>
    <w:rsid w:val="717B0A3E"/>
    <w:rsid w:val="717D0177"/>
    <w:rsid w:val="71847F3E"/>
    <w:rsid w:val="718F13CF"/>
    <w:rsid w:val="71A053FA"/>
    <w:rsid w:val="71C139F6"/>
    <w:rsid w:val="71D12075"/>
    <w:rsid w:val="71D87ABC"/>
    <w:rsid w:val="71DB0593"/>
    <w:rsid w:val="71E72E64"/>
    <w:rsid w:val="71F64B04"/>
    <w:rsid w:val="720A7028"/>
    <w:rsid w:val="721037CA"/>
    <w:rsid w:val="7216791F"/>
    <w:rsid w:val="7222754E"/>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923252"/>
    <w:rsid w:val="73A52ADB"/>
    <w:rsid w:val="73F04490"/>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90979"/>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3A73DD"/>
    <w:rsid w:val="77427438"/>
    <w:rsid w:val="77540EAB"/>
    <w:rsid w:val="775E4966"/>
    <w:rsid w:val="77720FB5"/>
    <w:rsid w:val="77760FFC"/>
    <w:rsid w:val="77CC63EB"/>
    <w:rsid w:val="77E34BBF"/>
    <w:rsid w:val="77EE514F"/>
    <w:rsid w:val="78342D62"/>
    <w:rsid w:val="786A2128"/>
    <w:rsid w:val="787378B8"/>
    <w:rsid w:val="787F5E0E"/>
    <w:rsid w:val="789A41C2"/>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B00E01"/>
    <w:rsid w:val="79D548EA"/>
    <w:rsid w:val="79DD070F"/>
    <w:rsid w:val="79F57AA2"/>
    <w:rsid w:val="7A024427"/>
    <w:rsid w:val="7A2902FC"/>
    <w:rsid w:val="7A543032"/>
    <w:rsid w:val="7A7747EC"/>
    <w:rsid w:val="7A7C4677"/>
    <w:rsid w:val="7A883FEE"/>
    <w:rsid w:val="7AA51AE9"/>
    <w:rsid w:val="7AB93063"/>
    <w:rsid w:val="7ABF07F0"/>
    <w:rsid w:val="7ACD1F05"/>
    <w:rsid w:val="7ACF3A41"/>
    <w:rsid w:val="7ADC6EC3"/>
    <w:rsid w:val="7ADE198C"/>
    <w:rsid w:val="7B111CB9"/>
    <w:rsid w:val="7B3B0CF5"/>
    <w:rsid w:val="7B402043"/>
    <w:rsid w:val="7B4D0AF5"/>
    <w:rsid w:val="7B587D8B"/>
    <w:rsid w:val="7B5F4AF6"/>
    <w:rsid w:val="7B6446E7"/>
    <w:rsid w:val="7B7421C6"/>
    <w:rsid w:val="7B897F9C"/>
    <w:rsid w:val="7B8B6C3F"/>
    <w:rsid w:val="7B974C50"/>
    <w:rsid w:val="7BBF0DE6"/>
    <w:rsid w:val="7BC94525"/>
    <w:rsid w:val="7BCA41A5"/>
    <w:rsid w:val="7BDE0036"/>
    <w:rsid w:val="7BE90B2B"/>
    <w:rsid w:val="7C03206D"/>
    <w:rsid w:val="7C0C42D3"/>
    <w:rsid w:val="7C2D09C7"/>
    <w:rsid w:val="7C420509"/>
    <w:rsid w:val="7C4F3DF1"/>
    <w:rsid w:val="7C5F39D5"/>
    <w:rsid w:val="7C607F1C"/>
    <w:rsid w:val="7C853942"/>
    <w:rsid w:val="7CAA7097"/>
    <w:rsid w:val="7CBA3DB9"/>
    <w:rsid w:val="7CE615AE"/>
    <w:rsid w:val="7CED46C4"/>
    <w:rsid w:val="7CEF733F"/>
    <w:rsid w:val="7CF96612"/>
    <w:rsid w:val="7D0261D9"/>
    <w:rsid w:val="7D296539"/>
    <w:rsid w:val="7D2A34EB"/>
    <w:rsid w:val="7D3014EE"/>
    <w:rsid w:val="7D423956"/>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DD36D4"/>
    <w:rsid w:val="7EEE7388"/>
    <w:rsid w:val="7EF02F3D"/>
    <w:rsid w:val="7EF87AF8"/>
    <w:rsid w:val="7F0B337E"/>
    <w:rsid w:val="7F122D08"/>
    <w:rsid w:val="7F28568F"/>
    <w:rsid w:val="7F3B3473"/>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3"/>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spacing w:line="288" w:lineRule="auto"/>
      <w:ind w:firstLine="680"/>
    </w:pPr>
    <w:rPr>
      <w:rFonts w:ascii="楷体_GB2312"/>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cs="宋体"/>
      <w:szCs w:val="21"/>
      <w:lang w:val="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szCs w:val="21"/>
    </w:rPr>
  </w:style>
  <w:style w:type="paragraph" w:styleId="10">
    <w:name w:val="Date"/>
    <w:basedOn w:val="1"/>
    <w:next w:val="1"/>
    <w:qFormat/>
    <w:uiPriority w:val="0"/>
    <w:rPr>
      <w:rFonts w:ascii="Times New Roman" w:hAnsi="Times New Roman"/>
      <w:kern w:val="0"/>
      <w:sz w:val="20"/>
      <w:szCs w:val="20"/>
    </w:rPr>
  </w:style>
  <w:style w:type="paragraph" w:styleId="11">
    <w:name w:val="Balloon Text"/>
    <w:basedOn w:val="1"/>
    <w:link w:val="32"/>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2"/>
    <w:basedOn w:val="8"/>
    <w:next w:val="1"/>
    <w:qFormat/>
    <w:uiPriority w:val="0"/>
    <w:pPr>
      <w:spacing w:after="120"/>
      <w:ind w:left="420" w:leftChars="200" w:firstLine="420"/>
    </w:pPr>
    <w:rPr>
      <w:bCs/>
    </w:rPr>
  </w:style>
  <w:style w:type="table" w:styleId="20">
    <w:name w:val="Table Grid"/>
    <w:basedOn w:val="1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basedOn w:val="21"/>
    <w:unhideWhenUsed/>
    <w:qFormat/>
    <w:uiPriority w:val="0"/>
  </w:style>
  <w:style w:type="character" w:styleId="24">
    <w:name w:val="Hyperlink"/>
    <w:unhideWhenUsed/>
    <w:qFormat/>
    <w:uiPriority w:val="99"/>
    <w:rPr>
      <w:color w:val="0000FF"/>
      <w:u w:val="single"/>
    </w:rPr>
  </w:style>
  <w:style w:type="paragraph" w:customStyle="1" w:styleId="25">
    <w:name w:val="汇编标题1"/>
    <w:basedOn w:val="2"/>
    <w:next w:val="26"/>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6">
    <w:name w:val="汇编正文"/>
    <w:basedOn w:val="1"/>
    <w:next w:val="27"/>
    <w:qFormat/>
    <w:uiPriority w:val="99"/>
    <w:pPr>
      <w:snapToGrid w:val="0"/>
      <w:spacing w:line="360" w:lineRule="atLeast"/>
    </w:pPr>
    <w:rPr>
      <w:color w:val="000000"/>
      <w:lang w:val="zh-CN"/>
    </w:rPr>
  </w:style>
  <w:style w:type="paragraph" w:customStyle="1" w:styleId="27">
    <w:name w:val="样式 标题 1 + 黑体 三号 非加粗 居中 段前: 6 磅 段后: 6 磅 行距: 固定值 20 磅"/>
    <w:basedOn w:val="2"/>
    <w:next w:val="17"/>
    <w:qFormat/>
    <w:uiPriority w:val="0"/>
    <w:pPr>
      <w:spacing w:before="120" w:after="120" w:line="400" w:lineRule="exact"/>
      <w:jc w:val="center"/>
    </w:pPr>
    <w:rPr>
      <w:rFonts w:ascii="黑体" w:hAnsi="黑体" w:eastAsia="黑体" w:cs="宋体"/>
      <w:b w:val="0"/>
      <w:sz w:val="32"/>
      <w:szCs w:val="20"/>
    </w:rPr>
  </w:style>
  <w:style w:type="paragraph" w:customStyle="1" w:styleId="28">
    <w:name w:val="列出段落1"/>
    <w:basedOn w:val="1"/>
    <w:qFormat/>
    <w:uiPriority w:val="34"/>
    <w:pPr>
      <w:ind w:firstLine="420" w:firstLineChars="200"/>
    </w:p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0">
    <w:name w:val="页眉 字符"/>
    <w:link w:val="13"/>
    <w:semiHidden/>
    <w:qFormat/>
    <w:uiPriority w:val="99"/>
    <w:rPr>
      <w:sz w:val="18"/>
      <w:szCs w:val="18"/>
    </w:rPr>
  </w:style>
  <w:style w:type="character" w:customStyle="1" w:styleId="31">
    <w:name w:val="页脚 字符"/>
    <w:link w:val="12"/>
    <w:semiHidden/>
    <w:qFormat/>
    <w:uiPriority w:val="99"/>
    <w:rPr>
      <w:sz w:val="18"/>
      <w:szCs w:val="18"/>
    </w:rPr>
  </w:style>
  <w:style w:type="character" w:customStyle="1" w:styleId="32">
    <w:name w:val="批注框文本 字符"/>
    <w:link w:val="11"/>
    <w:semiHidden/>
    <w:qFormat/>
    <w:uiPriority w:val="99"/>
    <w:rPr>
      <w:sz w:val="18"/>
      <w:szCs w:val="18"/>
    </w:rPr>
  </w:style>
  <w:style w:type="character" w:customStyle="1" w:styleId="33">
    <w:name w:val="标题 3 字符"/>
    <w:link w:val="4"/>
    <w:qFormat/>
    <w:uiPriority w:val="9"/>
    <w:rPr>
      <w:rFonts w:ascii="仿宋" w:hAnsi="仿宋" w:eastAsia="仿宋_GB2312" w:cs="Times New Roman"/>
      <w:bCs/>
      <w:sz w:val="28"/>
      <w:szCs w:val="32"/>
    </w:rPr>
  </w:style>
  <w:style w:type="character" w:customStyle="1" w:styleId="34">
    <w:name w:val="标题 2 字符"/>
    <w:link w:val="3"/>
    <w:qFormat/>
    <w:uiPriority w:val="9"/>
    <w:rPr>
      <w:rFonts w:ascii="Cambria" w:hAnsi="Cambria" w:eastAsia="仿宋_GB2312"/>
      <w:b/>
      <w:bCs/>
      <w:sz w:val="30"/>
      <w:szCs w:val="32"/>
    </w:rPr>
  </w:style>
  <w:style w:type="character" w:customStyle="1" w:styleId="35">
    <w:name w:val="标题 1 字符"/>
    <w:link w:val="2"/>
    <w:qFormat/>
    <w:uiPriority w:val="9"/>
    <w:rPr>
      <w:rFonts w:eastAsia="仿宋_GB2312"/>
      <w:b/>
      <w:bCs/>
      <w:kern w:val="44"/>
      <w:sz w:val="24"/>
      <w:szCs w:val="44"/>
    </w:rPr>
  </w:style>
  <w:style w:type="paragraph" w:customStyle="1" w:styleId="36">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rPr>
      <w:rFonts w:ascii="宋体" w:hAnsi="宋体" w:cs="宋体"/>
      <w:sz w:val="20"/>
      <w:szCs w:val="20"/>
    </w:rPr>
  </w:style>
  <w:style w:type="paragraph" w:customStyle="1" w:styleId="39">
    <w:name w:val="1"/>
    <w:basedOn w:val="1"/>
    <w:qFormat/>
    <w:uiPriority w:val="0"/>
    <w:rPr>
      <w:szCs w:val="21"/>
    </w:rPr>
  </w:style>
  <w:style w:type="paragraph" w:customStyle="1" w:styleId="40">
    <w:name w:val="Revision"/>
    <w:hidden/>
    <w:unhideWhenUsed/>
    <w:qFormat/>
    <w:uiPriority w:val="99"/>
    <w:rPr>
      <w:rFonts w:ascii="Calibri" w:hAnsi="Calibri" w:eastAsia="宋体" w:cs="Times New Roman"/>
      <w:kern w:val="2"/>
      <w:sz w:val="21"/>
      <w:szCs w:val="22"/>
      <w:lang w:val="en-US" w:eastAsia="zh-CN" w:bidi="ar-SA"/>
    </w:rPr>
  </w:style>
  <w:style w:type="paragraph" w:customStyle="1" w:styleId="41">
    <w:name w:val="正文格式"/>
    <w:basedOn w:val="1"/>
    <w:qFormat/>
    <w:uiPriority w:val="99"/>
    <w:pPr>
      <w:widowControl/>
      <w:autoSpaceDE/>
      <w:autoSpaceDN/>
      <w:adjustRightInd w:val="0"/>
      <w:snapToGrid w:val="0"/>
      <w:spacing w:beforeLines="50" w:afterLines="50" w:line="360" w:lineRule="atLeast"/>
      <w:ind w:left="200" w:leftChars="200" w:firstLine="482"/>
      <w:jc w:val="both"/>
      <w:textAlignment w:val="baseline"/>
    </w:pPr>
    <w:rPr>
      <w:rFonts w:ascii="Calibri" w:hAnsi="Calibri" w:eastAsia="宋体" w:cs="Times New Roman"/>
      <w:sz w:val="24"/>
      <w:szCs w:val="24"/>
      <w:lang w:val="en-US" w:eastAsia="en-US" w:bidi="ar-SA"/>
    </w:rPr>
  </w:style>
  <w:style w:type="character" w:customStyle="1" w:styleId="42">
    <w:name w:val="NormalCharacter"/>
    <w:qFormat/>
    <w:uiPriority w:val="0"/>
    <w:rPr>
      <w:rFonts w:ascii="Times New Roman" w:hAnsi="Times New Roman" w:eastAsia="宋体"/>
    </w:rPr>
  </w:style>
  <w:style w:type="character" w:customStyle="1" w:styleId="43">
    <w:name w:val="UserStyle_0"/>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8179</Words>
  <Characters>8395</Characters>
  <Lines>10</Lines>
  <Paragraphs>2</Paragraphs>
  <TotalTime>240</TotalTime>
  <ScaleCrop>false</ScaleCrop>
  <LinksUpToDate>false</LinksUpToDate>
  <CharactersWithSpaces>8863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小胡</cp:lastModifiedBy>
  <cp:lastPrinted>2025-06-19T02:47:00Z</cp:lastPrinted>
  <dcterms:modified xsi:type="dcterms:W3CDTF">2025-06-19T08:45:43Z</dcterms:modified>
  <dc:title>中建七局华北公司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9FD8777846E249DABA8B0D825EEE598B_13</vt:lpwstr>
  </property>
  <property fmtid="{D5CDD505-2E9C-101B-9397-08002B2CF9AE}" pid="4" name="KSOTemplateDocerSaveRecord">
    <vt:lpwstr>eyJoZGlkIjoiNmQwYjVkZmRiNjU5ZjIwYmQ5MzQ0ZWQ0MWVjM2FiNmEiLCJ1c2VySWQiOiI1ODU5NDg3NTkifQ==</vt:lpwstr>
  </property>
</Properties>
</file>