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atLeast"/>
        <w:jc w:val="right"/>
        <w:rPr>
          <w:rFonts w:hint="eastAsia" w:ascii="楷体_GB2312" w:hAnsi="楷体_GB2312" w:eastAsia="楷体_GB2312" w:cs="楷体_GB2312"/>
          <w:b/>
          <w:sz w:val="52"/>
          <w:szCs w:val="52"/>
          <w:lang w:val="en-US" w:eastAsia="zh-CN"/>
        </w:rPr>
      </w:pPr>
      <w:bookmarkStart w:id="0" w:name="_Toc343692939"/>
      <w:bookmarkStart w:id="1" w:name="_Toc343700737"/>
      <w:bookmarkStart w:id="18" w:name="_GoBack"/>
      <w:bookmarkEnd w:id="18"/>
      <w:r>
        <w:rPr>
          <w:rFonts w:hint="eastAsia" w:ascii="楷体_GB2312" w:hAnsi="楷体_GB2312" w:eastAsia="楷体_GB2312" w:cs="楷体_GB2312"/>
          <w:b/>
          <w:sz w:val="52"/>
          <w:szCs w:val="52"/>
        </w:rPr>
        <w:t xml:space="preserve">   </w:t>
      </w:r>
      <w:r>
        <w:rPr>
          <w:rFonts w:hint="eastAsia" w:ascii="楷体_GB2312" w:hAnsi="楷体_GB2312" w:eastAsia="楷体_GB2312" w:cs="楷体_GB2312"/>
          <w:b/>
          <w:sz w:val="52"/>
          <w:szCs w:val="52"/>
          <w:lang w:val="en-US" w:eastAsia="zh-CN"/>
        </w:rPr>
        <w:t xml:space="preserve"> </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海南洋浦陆海国际贸易有限公司</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 xml:space="preserve">ALC轻质隔墙板采购                               </w:t>
      </w: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highlight w:val="yellow"/>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公</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开</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询</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价</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文</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 xml:space="preserve">件                  </w:t>
      </w:r>
    </w:p>
    <w:p>
      <w:pPr>
        <w:pStyle w:val="7"/>
      </w:pPr>
    </w:p>
    <w:p>
      <w:pPr>
        <w:rPr>
          <w:rFonts w:hint="eastAsia"/>
          <w:lang w:eastAsia="zh-CN"/>
        </w:rPr>
      </w:pPr>
      <w:r>
        <w:rPr>
          <w:rFonts w:hint="eastAsia"/>
          <w:lang w:eastAsia="zh-CN"/>
        </w:rPr>
        <w:t>、</w:t>
      </w:r>
    </w:p>
    <w:p>
      <w:pPr>
        <w:rPr>
          <w:rFonts w:hint="eastAsia"/>
          <w:lang w:eastAsia="zh-CN"/>
        </w:rPr>
      </w:pPr>
    </w:p>
    <w:p>
      <w:pPr>
        <w:pStyle w:val="28"/>
        <w:numPr>
          <w:ilvl w:val="0"/>
          <w:numId w:val="1"/>
        </w:numPr>
        <w:spacing w:line="360" w:lineRule="exact"/>
        <w:ind w:firstLineChars="0"/>
        <w:jc w:val="center"/>
        <w:outlineLvl w:val="0"/>
        <w:rPr>
          <w:rFonts w:hint="default" w:ascii="楷体" w:hAnsi="楷体" w:eastAsia="楷体" w:cs="楷体"/>
          <w:sz w:val="24"/>
          <w:szCs w:val="24"/>
          <w:lang w:val="en-US"/>
        </w:rPr>
      </w:pPr>
      <w:r>
        <w:rPr>
          <w:rFonts w:hint="eastAsia" w:ascii="楷体" w:hAnsi="楷体" w:eastAsia="楷体" w:cs="楷体"/>
          <w:b/>
          <w:bCs/>
          <w:sz w:val="24"/>
          <w:szCs w:val="24"/>
          <w:lang w:val="en-US" w:eastAsia="zh-CN"/>
        </w:rPr>
        <w:t>公开询价报价须知</w:t>
      </w:r>
    </w:p>
    <w:tbl>
      <w:tblPr>
        <w:tblStyle w:val="20"/>
        <w:tblpPr w:leftFromText="180" w:rightFromText="180" w:vertAnchor="text" w:horzAnchor="page" w:tblpX="1785" w:tblpY="296"/>
        <w:tblOverlap w:val="never"/>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17"/>
        <w:gridCol w:w="5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613" w:type="dxa"/>
            <w:gridSpan w:val="3"/>
            <w:tcBorders>
              <w:top w:val="single" w:color="auto" w:sz="8" w:space="0"/>
            </w:tcBorders>
            <w:vAlign w:val="center"/>
          </w:tcPr>
          <w:p>
            <w:pPr>
              <w:spacing w:line="360" w:lineRule="atLeast"/>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海南洋浦陆海国际贸易有限公司</w:t>
            </w:r>
            <w:r>
              <w:rPr>
                <w:rFonts w:hint="eastAsia" w:ascii="楷体" w:hAnsi="楷体" w:eastAsia="楷体" w:cs="楷体"/>
                <w:sz w:val="24"/>
                <w:szCs w:val="24"/>
                <w:u w:val="single"/>
                <w:lang w:val="en-US" w:eastAsia="zh-CN"/>
              </w:rPr>
              <w:t>ALC轻质隔墙板</w:t>
            </w:r>
            <w:r>
              <w:rPr>
                <w:rFonts w:hint="eastAsia" w:ascii="楷体" w:hAnsi="楷体" w:eastAsia="楷体" w:cs="楷体"/>
                <w:sz w:val="24"/>
                <w:szCs w:val="24"/>
              </w:rPr>
              <w:t>采购根据需要，拟按照</w:t>
            </w:r>
            <w:r>
              <w:rPr>
                <w:rFonts w:hint="eastAsia" w:ascii="楷体" w:hAnsi="楷体" w:eastAsia="楷体" w:cs="楷体"/>
                <w:sz w:val="24"/>
                <w:szCs w:val="24"/>
                <w:u w:val="single"/>
                <w:lang w:val="en-US" w:eastAsia="zh-CN"/>
              </w:rPr>
              <w:t>公开询价</w:t>
            </w:r>
            <w:r>
              <w:rPr>
                <w:rFonts w:hint="eastAsia" w:ascii="楷体" w:hAnsi="楷体" w:eastAsia="楷体" w:cs="楷体"/>
                <w:sz w:val="24"/>
                <w:szCs w:val="24"/>
              </w:rPr>
              <w:t xml:space="preserve">方式进行采购，具体采购事项如下：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序号</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项目</w:t>
            </w:r>
          </w:p>
        </w:tc>
        <w:tc>
          <w:tcPr>
            <w:tcW w:w="523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1</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eastAsia="zh-CN"/>
              </w:rPr>
              <w:t>公开询价</w:t>
            </w:r>
            <w:r>
              <w:rPr>
                <w:rFonts w:hint="eastAsia" w:ascii="楷体" w:hAnsi="楷体" w:eastAsia="楷体" w:cs="楷体"/>
                <w:sz w:val="24"/>
                <w:szCs w:val="24"/>
              </w:rPr>
              <w:t>单位</w:t>
            </w:r>
          </w:p>
        </w:tc>
        <w:tc>
          <w:tcPr>
            <w:tcW w:w="5233"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海南洋浦陆海国际贸易有限公司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eastAsia="zh-CN"/>
              </w:rPr>
              <w:t>公开询价</w:t>
            </w:r>
            <w:r>
              <w:rPr>
                <w:rFonts w:hint="eastAsia" w:ascii="楷体" w:hAnsi="楷体" w:eastAsia="楷体" w:cs="楷体"/>
                <w:sz w:val="24"/>
                <w:szCs w:val="24"/>
              </w:rPr>
              <w:t>内容</w:t>
            </w:r>
          </w:p>
        </w:tc>
        <w:tc>
          <w:tcPr>
            <w:tcW w:w="5233" w:type="dxa"/>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填写内容：</w:t>
            </w:r>
          </w:p>
          <w:p>
            <w:pPr>
              <w:spacing w:line="360" w:lineRule="atLeast"/>
              <w:ind w:left="720" w:hanging="720" w:hangingChars="300"/>
              <w:jc w:val="center"/>
              <w:rPr>
                <w:rFonts w:hint="eastAsia" w:ascii="楷体" w:hAnsi="楷体" w:eastAsia="楷体" w:cs="楷体"/>
                <w:sz w:val="24"/>
                <w:szCs w:val="24"/>
              </w:rPr>
            </w:pPr>
            <w:r>
              <w:rPr>
                <w:rFonts w:hint="eastAsia" w:ascii="楷体" w:hAnsi="楷体" w:eastAsia="楷体" w:cs="楷体"/>
                <w:sz w:val="24"/>
                <w:szCs w:val="24"/>
              </w:rPr>
              <w:t>1.采购</w:t>
            </w:r>
            <w:r>
              <w:rPr>
                <w:rFonts w:hint="eastAsia" w:ascii="楷体" w:hAnsi="楷体" w:eastAsia="楷体" w:cs="楷体"/>
                <w:sz w:val="24"/>
                <w:szCs w:val="24"/>
                <w:lang w:val="en-US" w:eastAsia="zh-CN"/>
              </w:rPr>
              <w:t>货</w:t>
            </w:r>
            <w:r>
              <w:rPr>
                <w:rFonts w:hint="eastAsia" w:ascii="楷体" w:hAnsi="楷体" w:eastAsia="楷体" w:cs="楷体"/>
                <w:sz w:val="24"/>
                <w:szCs w:val="24"/>
              </w:rPr>
              <w:t>物名称/数量（详见报价书）；</w:t>
            </w:r>
          </w:p>
          <w:p>
            <w:pPr>
              <w:spacing w:line="360" w:lineRule="atLeast"/>
              <w:ind w:left="720" w:hanging="720" w:hangingChars="300"/>
              <w:jc w:val="center"/>
              <w:rPr>
                <w:rFonts w:hint="eastAsia" w:ascii="楷体" w:hAnsi="楷体" w:eastAsia="楷体" w:cs="楷体"/>
                <w:sz w:val="24"/>
                <w:szCs w:val="24"/>
              </w:rPr>
            </w:pPr>
            <w:r>
              <w:rPr>
                <w:rFonts w:hint="eastAsia" w:ascii="楷体" w:hAnsi="楷体" w:eastAsia="楷体" w:cs="楷体"/>
                <w:sz w:val="24"/>
                <w:szCs w:val="24"/>
              </w:rPr>
              <w:t>2.质量标准及技术要求等（详见</w:t>
            </w:r>
            <w:r>
              <w:rPr>
                <w:rFonts w:hint="eastAsia" w:ascii="楷体" w:hAnsi="楷体" w:eastAsia="楷体" w:cs="楷体"/>
                <w:sz w:val="24"/>
                <w:szCs w:val="24"/>
                <w:lang w:eastAsia="zh-CN"/>
              </w:rPr>
              <w:t>公开询价</w:t>
            </w:r>
            <w:r>
              <w:rPr>
                <w:rFonts w:hint="eastAsia" w:ascii="楷体" w:hAnsi="楷体" w:eastAsia="楷体" w:cs="楷体"/>
                <w:sz w:val="24"/>
                <w:szCs w:val="24"/>
              </w:rPr>
              <w:t>说明）；</w:t>
            </w:r>
          </w:p>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eastAsia="zh-CN"/>
              </w:rPr>
              <w:t>公开询价报价</w:t>
            </w:r>
            <w:r>
              <w:rPr>
                <w:rFonts w:hint="eastAsia" w:ascii="楷体" w:hAnsi="楷体" w:eastAsia="楷体" w:cs="楷体"/>
                <w:sz w:val="24"/>
                <w:szCs w:val="24"/>
              </w:rPr>
              <w:t>文件获取方式：在网页附件处下载电子版文件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开始</w:t>
            </w:r>
            <w:r>
              <w:rPr>
                <w:rFonts w:hint="eastAsia" w:ascii="楷体" w:hAnsi="楷体" w:eastAsia="楷体" w:cs="楷体"/>
                <w:sz w:val="24"/>
                <w:szCs w:val="24"/>
              </w:rPr>
              <w:t>时间</w:t>
            </w:r>
          </w:p>
        </w:tc>
        <w:tc>
          <w:tcPr>
            <w:tcW w:w="523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highlight w:val="none"/>
                <w:lang w:val="en-US" w:eastAsia="zh-CN"/>
              </w:rPr>
              <w:t>2024年6月25日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2"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4</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报价书</w:t>
            </w:r>
            <w:r>
              <w:rPr>
                <w:rFonts w:hint="eastAsia" w:ascii="楷体" w:hAnsi="楷体" w:eastAsia="楷体" w:cs="楷体"/>
                <w:sz w:val="24"/>
                <w:szCs w:val="24"/>
              </w:rPr>
              <w:t>递交时间地点</w:t>
            </w:r>
          </w:p>
        </w:tc>
        <w:tc>
          <w:tcPr>
            <w:tcW w:w="5233" w:type="dxa"/>
            <w:vAlign w:val="center"/>
          </w:tcPr>
          <w:p>
            <w:pPr>
              <w:spacing w:line="360" w:lineRule="atLeast"/>
              <w:jc w:val="center"/>
              <w:rPr>
                <w:rFonts w:hint="default" w:ascii="楷体" w:hAnsi="楷体" w:eastAsia="楷体" w:cs="楷体"/>
                <w:sz w:val="24"/>
                <w:szCs w:val="24"/>
                <w:lang w:val="en-US"/>
              </w:rPr>
            </w:pPr>
            <w:r>
              <w:rPr>
                <w:rFonts w:hint="eastAsia" w:ascii="楷体" w:hAnsi="楷体" w:eastAsia="楷体" w:cs="楷体"/>
                <w:sz w:val="24"/>
                <w:szCs w:val="24"/>
                <w:highlight w:val="none"/>
                <w:lang w:val="en-US" w:eastAsia="zh-CN"/>
              </w:rPr>
              <w:t>截至2024年6月28日上午12：00电子版文件（PDF格式）发送至指定电子邮箱luhaimygs@hnyplh.com。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5</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联系人及电话</w:t>
            </w:r>
          </w:p>
        </w:tc>
        <w:tc>
          <w:tcPr>
            <w:tcW w:w="5233" w:type="dxa"/>
            <w:vAlign w:val="center"/>
          </w:tcPr>
          <w:p>
            <w:pPr>
              <w:spacing w:line="360" w:lineRule="atLeast"/>
              <w:jc w:val="center"/>
              <w:rPr>
                <w:rFonts w:hint="default" w:ascii="楷体" w:hAnsi="楷体" w:eastAsia="楷体" w:cs="楷体"/>
                <w:sz w:val="24"/>
                <w:szCs w:val="24"/>
                <w:lang w:val="en-US" w:eastAsia="zh-CN"/>
              </w:rPr>
            </w:pPr>
            <w:r>
              <w:rPr>
                <w:rFonts w:hint="eastAsia" w:ascii="楷体" w:hAnsi="楷体" w:eastAsia="楷体" w:cs="楷体"/>
                <w:sz w:val="24"/>
                <w:szCs w:val="24"/>
                <w:highlight w:val="none"/>
                <w:lang w:val="en-US" w:eastAsia="zh-CN"/>
              </w:rPr>
              <w:t>周工/0898-28810376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20" w:hRule="exact"/>
        </w:trPr>
        <w:tc>
          <w:tcPr>
            <w:tcW w:w="86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w:t>
            </w:r>
          </w:p>
        </w:tc>
        <w:tc>
          <w:tcPr>
            <w:tcW w:w="2517"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评分方法</w:t>
            </w:r>
          </w:p>
        </w:tc>
        <w:tc>
          <w:tcPr>
            <w:tcW w:w="5233" w:type="dxa"/>
            <w:vAlign w:val="center"/>
          </w:tcPr>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低价评审法</w:t>
            </w:r>
          </w:p>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（1）符合性评审：</w:t>
            </w:r>
          </w:p>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符合第三章报价书（格式）要求。</w:t>
            </w:r>
          </w:p>
          <w:p>
            <w:pPr>
              <w:spacing w:line="360" w:lineRule="atLeast"/>
              <w:jc w:val="left"/>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（2）价格评审：通过符合性审查的报价单位，进入价格评审。按照报价单位的报价由低到高确定候选人。</w:t>
            </w:r>
          </w:p>
          <w:p>
            <w:pPr>
              <w:spacing w:line="360" w:lineRule="atLeast"/>
              <w:jc w:val="center"/>
              <w:rPr>
                <w:rFonts w:hint="default" w:ascii="楷体" w:hAnsi="楷体" w:eastAsia="楷体" w:cs="楷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default" w:ascii="楷体_GB2312" w:hAnsi="楷体_GB2312" w:eastAsia="楷体_GB2312" w:cs="楷体_GB2312"/>
                <w:sz w:val="24"/>
                <w:szCs w:val="24"/>
                <w:lang w:val="en-US" w:eastAsia="zh-CN"/>
              </w:rPr>
            </w:pPr>
            <w:r>
              <w:rPr>
                <w:rFonts w:hint="eastAsia" w:ascii="楷体" w:hAnsi="楷体" w:eastAsia="楷体" w:cs="楷体"/>
                <w:sz w:val="24"/>
                <w:szCs w:val="24"/>
                <w:highlight w:val="none"/>
                <w:lang w:val="en-US" w:eastAsia="zh-CN"/>
              </w:rPr>
              <w:t>7</w:t>
            </w:r>
          </w:p>
        </w:tc>
        <w:tc>
          <w:tcPr>
            <w:tcW w:w="2517" w:type="dxa"/>
            <w:vAlign w:val="center"/>
          </w:tcPr>
          <w:p>
            <w:pPr>
              <w:spacing w:line="360" w:lineRule="atLeast"/>
              <w:jc w:val="center"/>
              <w:rPr>
                <w:rFonts w:hint="eastAsia" w:ascii="楷体_GB2312" w:hAnsi="楷体_GB2312" w:eastAsia="楷体_GB2312" w:cs="楷体_GB2312"/>
                <w:sz w:val="24"/>
                <w:szCs w:val="24"/>
                <w:lang w:val="en-US" w:eastAsia="zh-CN"/>
              </w:rPr>
            </w:pPr>
            <w:r>
              <w:rPr>
                <w:rFonts w:hint="eastAsia" w:ascii="楷体" w:hAnsi="楷体" w:eastAsia="楷体" w:cs="楷体"/>
                <w:sz w:val="24"/>
                <w:szCs w:val="24"/>
                <w:highlight w:val="none"/>
                <w:lang w:val="en-US" w:eastAsia="zh-CN"/>
              </w:rPr>
              <w:t>廉政监督电话</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0898-28810186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8</w:t>
            </w:r>
          </w:p>
        </w:tc>
        <w:tc>
          <w:tcPr>
            <w:tcW w:w="2517"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送货地址</w:t>
            </w:r>
          </w:p>
        </w:tc>
        <w:tc>
          <w:tcPr>
            <w:tcW w:w="523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bCs/>
                <w:sz w:val="24"/>
                <w:szCs w:val="24"/>
                <w:lang w:val="en-US" w:eastAsia="zh-CN"/>
              </w:rPr>
              <w:t>儋州市项目指定地点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19"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9</w:t>
            </w:r>
          </w:p>
        </w:tc>
        <w:tc>
          <w:tcPr>
            <w:tcW w:w="2517"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履约保证金</w:t>
            </w:r>
          </w:p>
        </w:tc>
        <w:tc>
          <w:tcPr>
            <w:tcW w:w="5233" w:type="dxa"/>
            <w:vAlign w:val="center"/>
          </w:tcPr>
          <w:p>
            <w:pPr>
              <w:spacing w:line="360" w:lineRule="atLeast"/>
              <w:jc w:val="left"/>
              <w:rPr>
                <w:rFonts w:hint="default" w:ascii="楷体" w:hAnsi="楷体" w:eastAsia="楷体" w:cs="楷体"/>
                <w:sz w:val="24"/>
                <w:szCs w:val="24"/>
                <w:highlight w:val="none"/>
                <w:lang w:val="en-US" w:eastAsia="zh-CN"/>
              </w:rPr>
            </w:pPr>
            <w:r>
              <w:rPr>
                <w:rFonts w:hint="default" w:ascii="楷体" w:hAnsi="楷体" w:eastAsia="楷体" w:cs="楷体"/>
                <w:sz w:val="24"/>
                <w:szCs w:val="24"/>
                <w:highlight w:val="none"/>
                <w:lang w:val="en-US" w:eastAsia="zh-CN"/>
              </w:rPr>
              <w:t>中标金额的</w:t>
            </w:r>
            <w:r>
              <w:rPr>
                <w:rFonts w:hint="eastAsia" w:ascii="楷体" w:hAnsi="楷体" w:eastAsia="楷体" w:cs="楷体"/>
                <w:sz w:val="24"/>
                <w:szCs w:val="24"/>
                <w:highlight w:val="none"/>
                <w:lang w:val="en-US" w:eastAsia="zh-CN"/>
              </w:rPr>
              <w:t>3</w:t>
            </w:r>
            <w:r>
              <w:rPr>
                <w:rFonts w:hint="default" w:ascii="楷体" w:hAnsi="楷体" w:eastAsia="楷体" w:cs="楷体"/>
                <w:sz w:val="24"/>
                <w:szCs w:val="24"/>
                <w:highlight w:val="none"/>
                <w:lang w:val="en-US" w:eastAsia="zh-CN"/>
              </w:rPr>
              <w:t>%。履约保证金的提交时间：</w:t>
            </w:r>
            <w:r>
              <w:rPr>
                <w:rFonts w:hint="eastAsia" w:ascii="楷体" w:hAnsi="楷体" w:eastAsia="楷体" w:cs="楷体"/>
                <w:sz w:val="24"/>
                <w:szCs w:val="24"/>
                <w:highlight w:val="none"/>
                <w:lang w:val="en-US" w:eastAsia="zh-CN"/>
              </w:rPr>
              <w:t>成交</w:t>
            </w:r>
            <w:r>
              <w:rPr>
                <w:rFonts w:hint="default" w:ascii="楷体" w:hAnsi="楷体" w:eastAsia="楷体" w:cs="楷体"/>
                <w:sz w:val="24"/>
                <w:szCs w:val="24"/>
                <w:highlight w:val="none"/>
                <w:lang w:val="en-US" w:eastAsia="zh-CN"/>
              </w:rPr>
              <w:t>通知书发出之后7个日历天内；履约保证金的形式：1.银行转账形式缴纳</w:t>
            </w:r>
            <w:r>
              <w:rPr>
                <w:rFonts w:hint="eastAsia" w:ascii="楷体" w:hAnsi="楷体" w:eastAsia="楷体" w:cs="楷体"/>
                <w:sz w:val="24"/>
                <w:szCs w:val="24"/>
                <w:highlight w:val="none"/>
                <w:lang w:val="en-US" w:eastAsia="zh-CN"/>
              </w:rPr>
              <w:t>；</w:t>
            </w:r>
            <w:r>
              <w:rPr>
                <w:rFonts w:hint="default" w:ascii="楷体" w:hAnsi="楷体" w:eastAsia="楷体" w:cs="楷体"/>
                <w:sz w:val="24"/>
                <w:szCs w:val="24"/>
                <w:highlight w:val="none"/>
                <w:lang w:val="en-US" w:eastAsia="zh-CN"/>
              </w:rPr>
              <w:t>2.银行履约保函的形式缴纳。若采用银行保函，则须满足以下条件：则该保函性质为见索即付，有效期间需覆盖至项目竣工验收完毕，争议解决地为受益人所在地，可在开具银行的官网或授权的app及微信客户端可在线查验。以此作为</w:t>
            </w:r>
            <w:r>
              <w:rPr>
                <w:rFonts w:hint="eastAsia" w:ascii="楷体" w:hAnsi="楷体" w:eastAsia="楷体" w:cs="楷体"/>
                <w:sz w:val="24"/>
                <w:szCs w:val="24"/>
                <w:highlight w:val="none"/>
                <w:lang w:val="en-US" w:eastAsia="zh-CN"/>
              </w:rPr>
              <w:t>供货方</w:t>
            </w:r>
            <w:r>
              <w:rPr>
                <w:rFonts w:hint="default" w:ascii="楷体" w:hAnsi="楷体" w:eastAsia="楷体" w:cs="楷体"/>
                <w:sz w:val="24"/>
                <w:szCs w:val="24"/>
                <w:highlight w:val="none"/>
                <w:lang w:val="en-US" w:eastAsia="zh-CN"/>
              </w:rPr>
              <w:t>诚信、全面、正确履行全部合同义务的保证，如发生违约扣款情况，</w:t>
            </w:r>
            <w:r>
              <w:rPr>
                <w:rFonts w:hint="eastAsia" w:ascii="楷体" w:hAnsi="楷体" w:eastAsia="楷体" w:cs="楷体"/>
                <w:sz w:val="24"/>
                <w:szCs w:val="24"/>
                <w:highlight w:val="none"/>
                <w:lang w:val="en-US" w:eastAsia="zh-CN"/>
              </w:rPr>
              <w:t>我</w:t>
            </w:r>
            <w:r>
              <w:rPr>
                <w:rFonts w:hint="default" w:ascii="楷体" w:hAnsi="楷体" w:eastAsia="楷体" w:cs="楷体"/>
                <w:sz w:val="24"/>
                <w:szCs w:val="24"/>
                <w:highlight w:val="none"/>
                <w:lang w:val="en-US" w:eastAsia="zh-CN"/>
              </w:rPr>
              <w:t>方就收取的履约保证金在供货完毕且办理完总结算签字确认后30个工作日内，扣除违约金无息返还；如有其他情况，双方协商确定返还时间。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7"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10</w:t>
            </w:r>
          </w:p>
        </w:tc>
        <w:tc>
          <w:tcPr>
            <w:tcW w:w="2517"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其他要求</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招标人对中标候选人进行现场考察，并有权对中标候选人进行综合评判是否具备供货和质量保障能力。若不满足，则取消中标候选人资格。</w:t>
            </w:r>
          </w:p>
        </w:tc>
      </w:tr>
    </w:tbl>
    <w:p>
      <w:pPr>
        <w:adjustRightInd w:val="0"/>
        <w:snapToGrid w:val="0"/>
        <w:spacing w:line="360" w:lineRule="exact"/>
        <w:jc w:val="right"/>
        <w:rPr>
          <w:rFonts w:hint="default" w:ascii="楷体_GB2312" w:hAnsi="楷体_GB2312" w:eastAsia="楷体_GB2312" w:cs="楷体_GB2312"/>
          <w:sz w:val="24"/>
          <w:szCs w:val="24"/>
          <w:lang w:val="en-US"/>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p>
    <w:p>
      <w:pPr>
        <w:rPr>
          <w:rFonts w:hint="eastAsia" w:ascii="楷体_GB2312" w:hAnsi="楷体_GB2312" w:eastAsia="楷体_GB2312" w:cs="楷体_GB2312"/>
          <w:szCs w:val="24"/>
        </w:rPr>
      </w:pPr>
    </w:p>
    <w:bookmarkEnd w:id="0"/>
    <w:bookmarkEnd w:id="1"/>
    <w:p>
      <w:pPr>
        <w:pStyle w:val="6"/>
        <w:pageBreakBefore w:val="0"/>
        <w:widowControl w:val="0"/>
        <w:kinsoku/>
        <w:wordWrap/>
        <w:overflowPunct/>
        <w:topLinePunct w:val="0"/>
        <w:autoSpaceDE/>
        <w:autoSpaceDN/>
        <w:bidi w:val="0"/>
        <w:adjustRightInd/>
        <w:snapToGrid/>
        <w:spacing w:before="0" w:line="400" w:lineRule="exact"/>
        <w:ind w:firstLine="482" w:firstLineChars="200"/>
        <w:textAlignment w:val="auto"/>
        <w:rPr>
          <w:rFonts w:hint="eastAsia" w:ascii="楷体" w:hAnsi="楷体" w:eastAsia="楷体" w:cs="楷体"/>
          <w:sz w:val="24"/>
          <w:szCs w:val="24"/>
        </w:rPr>
      </w:pPr>
      <w:bookmarkStart w:id="2" w:name="_Toc343692940"/>
      <w:bookmarkStart w:id="3" w:name="_Toc343700738"/>
      <w:r>
        <w:rPr>
          <w:rFonts w:hint="eastAsia" w:ascii="楷体" w:hAnsi="楷体" w:eastAsia="楷体" w:cs="楷体"/>
          <w:sz w:val="24"/>
          <w:szCs w:val="24"/>
        </w:rPr>
        <w:t>一、总则</w:t>
      </w:r>
      <w:bookmarkEnd w:id="2"/>
      <w:bookmarkEnd w:id="3"/>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(一)原则</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坚持公开、公正、公平和诚实信用的原则。坚持质量优先，价格合理，科学评估，规范运作</w:t>
      </w:r>
      <w:r>
        <w:rPr>
          <w:rFonts w:hint="eastAsia" w:ascii="楷体" w:hAnsi="楷体" w:eastAsia="楷体" w:cs="楷体"/>
          <w:bCs/>
          <w:sz w:val="24"/>
          <w:szCs w:val="24"/>
          <w:lang w:eastAsia="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 xml:space="preserve">(二) </w:t>
      </w:r>
      <w:r>
        <w:rPr>
          <w:rFonts w:hint="eastAsia" w:ascii="楷体" w:hAnsi="楷体" w:eastAsia="楷体" w:cs="楷体"/>
          <w:bCs/>
          <w:sz w:val="24"/>
          <w:szCs w:val="24"/>
          <w:lang w:val="en-US" w:eastAsia="zh-CN"/>
        </w:rPr>
        <w:t>供应商参与报价条件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1、具备法律主体资格。</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2、具备国家有关部门、行业或公司要求必须取得的质量、计量、安全、环保认证及其他经营许可；在有关部门和行业的监督检查中没有不良记录；与公司没有不良合作记录。</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
          <w:bCs/>
          <w:sz w:val="24"/>
          <w:szCs w:val="24"/>
          <w:lang w:val="en-US" w:eastAsia="zh-CN"/>
        </w:rPr>
      </w:pPr>
      <w:r>
        <w:rPr>
          <w:rFonts w:hint="eastAsia" w:ascii="楷体" w:hAnsi="楷体" w:eastAsia="楷体" w:cs="楷体"/>
          <w:bCs/>
          <w:sz w:val="24"/>
          <w:szCs w:val="24"/>
        </w:rPr>
        <w:t>3、具有一定的经营规模和服务能力</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有同产品的供应业绩，供应量不低于本次询价数量。</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rPr>
        <w:t>4、具有良好的商业信誉</w:t>
      </w:r>
      <w:r>
        <w:rPr>
          <w:rFonts w:hint="eastAsia" w:ascii="楷体" w:hAnsi="楷体" w:eastAsia="楷体" w:cs="楷体"/>
          <w:bCs/>
          <w:sz w:val="24"/>
          <w:szCs w:val="24"/>
          <w:lang w:eastAsia="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(三)合格的</w:t>
      </w:r>
      <w:r>
        <w:rPr>
          <w:rFonts w:hint="eastAsia" w:ascii="楷体" w:hAnsi="楷体" w:eastAsia="楷体" w:cs="楷体"/>
          <w:sz w:val="24"/>
          <w:szCs w:val="24"/>
          <w:u w:val="single"/>
          <w:lang w:val="en-US" w:eastAsia="zh-CN"/>
        </w:rPr>
        <w:t>ALC轻质隔墙板</w:t>
      </w:r>
      <w:r>
        <w:rPr>
          <w:rFonts w:hint="eastAsia" w:ascii="楷体" w:hAnsi="楷体" w:eastAsia="楷体" w:cs="楷体"/>
          <w:bCs/>
          <w:sz w:val="24"/>
          <w:szCs w:val="24"/>
        </w:rPr>
        <w:t>采购范围和交易方式</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结束后，向</w:t>
      </w:r>
      <w:r>
        <w:rPr>
          <w:rFonts w:hint="eastAsia" w:ascii="楷体" w:hAnsi="楷体" w:eastAsia="楷体" w:cs="楷体"/>
          <w:bCs/>
          <w:sz w:val="24"/>
          <w:szCs w:val="24"/>
          <w:lang w:eastAsia="zh-CN"/>
        </w:rPr>
        <w:t>成交</w:t>
      </w:r>
      <w:r>
        <w:rPr>
          <w:rFonts w:hint="eastAsia" w:ascii="楷体" w:hAnsi="楷体" w:eastAsia="楷体" w:cs="楷体"/>
          <w:bCs/>
          <w:sz w:val="24"/>
          <w:szCs w:val="24"/>
        </w:rPr>
        <w:t>企业发放《</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企业凭《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通知书》按照</w:t>
      </w:r>
      <w:r>
        <w:rPr>
          <w:rFonts w:hint="eastAsia" w:ascii="楷体" w:hAnsi="楷体" w:eastAsia="楷体" w:cs="楷体"/>
          <w:bCs/>
          <w:sz w:val="24"/>
          <w:szCs w:val="24"/>
          <w:lang w:val="en-US" w:eastAsia="zh-CN"/>
        </w:rPr>
        <w:t>报价书价格</w:t>
      </w:r>
      <w:r>
        <w:rPr>
          <w:rFonts w:hint="eastAsia" w:ascii="楷体" w:hAnsi="楷体" w:eastAsia="楷体" w:cs="楷体"/>
          <w:bCs/>
          <w:sz w:val="24"/>
          <w:szCs w:val="24"/>
        </w:rPr>
        <w:t>签定具体采购合同。</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2．供货和结算方式：</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企业根据合同供货，货款按合同规定结算。</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3．供货过程中，如发现</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单位实际不具备供货条件，或所供应</w:t>
      </w:r>
      <w:r>
        <w:rPr>
          <w:rFonts w:hint="eastAsia" w:ascii="楷体" w:hAnsi="楷体" w:eastAsia="楷体" w:cs="楷体"/>
          <w:sz w:val="24"/>
          <w:szCs w:val="24"/>
          <w:u w:val="single"/>
          <w:lang w:val="en-US" w:eastAsia="zh-CN"/>
        </w:rPr>
        <w:t>ALC轻质隔墙板</w:t>
      </w:r>
      <w:r>
        <w:rPr>
          <w:rFonts w:hint="eastAsia" w:ascii="楷体" w:hAnsi="楷体" w:eastAsia="楷体" w:cs="楷体"/>
          <w:bCs/>
          <w:sz w:val="24"/>
          <w:szCs w:val="24"/>
        </w:rPr>
        <w:t>不符合相关质量要求，</w:t>
      </w:r>
      <w:r>
        <w:rPr>
          <w:rFonts w:hint="eastAsia" w:ascii="楷体" w:hAnsi="楷体" w:eastAsia="楷体" w:cs="楷体"/>
          <w:bCs/>
          <w:sz w:val="24"/>
          <w:szCs w:val="24"/>
          <w:lang w:val="en-US" w:eastAsia="zh-CN"/>
        </w:rPr>
        <w:t>我司</w:t>
      </w:r>
      <w:r>
        <w:rPr>
          <w:rFonts w:hint="eastAsia" w:ascii="楷体" w:hAnsi="楷体" w:eastAsia="楷体" w:cs="楷体"/>
          <w:bCs/>
          <w:sz w:val="24"/>
          <w:szCs w:val="24"/>
        </w:rPr>
        <w:t>可终止与该</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单位合作。</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（四）合同文本采用使用</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单位提供的合同文本。供货合同将以此</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文件为基础签订，凡参与</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的单位皆被视为认可文件中出现的所有条款，并被视为</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单位已把文件中出现的所有条款综合考虑在自己的报价中。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单位放弃资格，</w:t>
      </w:r>
      <w:r>
        <w:rPr>
          <w:rFonts w:hint="eastAsia" w:ascii="楷体" w:hAnsi="楷体" w:eastAsia="楷体" w:cs="楷体"/>
          <w:bCs/>
          <w:sz w:val="24"/>
          <w:szCs w:val="24"/>
          <w:lang w:val="en-US" w:eastAsia="zh-CN"/>
        </w:rPr>
        <w:t>我司有权选择与</w:t>
      </w:r>
      <w:r>
        <w:rPr>
          <w:rFonts w:hint="eastAsia" w:ascii="楷体" w:hAnsi="楷体" w:eastAsia="楷体" w:cs="楷体"/>
          <w:bCs/>
          <w:sz w:val="24"/>
          <w:szCs w:val="24"/>
        </w:rPr>
        <w:t>备选单位签订合同。</w:t>
      </w:r>
    </w:p>
    <w:p>
      <w:pPr>
        <w:pStyle w:val="6"/>
        <w:pageBreakBefore w:val="0"/>
        <w:widowControl w:val="0"/>
        <w:kinsoku/>
        <w:wordWrap/>
        <w:overflowPunct/>
        <w:topLinePunct w:val="0"/>
        <w:autoSpaceDE/>
        <w:autoSpaceDN/>
        <w:bidi w:val="0"/>
        <w:adjustRightInd/>
        <w:snapToGrid/>
        <w:spacing w:before="0" w:line="400" w:lineRule="exact"/>
        <w:ind w:firstLine="482" w:firstLineChars="200"/>
        <w:textAlignment w:val="auto"/>
        <w:rPr>
          <w:rFonts w:hint="eastAsia" w:ascii="楷体" w:hAnsi="楷体" w:eastAsia="楷体" w:cs="楷体"/>
          <w:sz w:val="24"/>
          <w:szCs w:val="24"/>
        </w:rPr>
      </w:pPr>
      <w:bookmarkStart w:id="4" w:name="_Toc343700739"/>
      <w:bookmarkStart w:id="5" w:name="_Toc343692941"/>
      <w:r>
        <w:rPr>
          <w:rFonts w:hint="eastAsia" w:ascii="楷体" w:hAnsi="楷体" w:eastAsia="楷体" w:cs="楷体"/>
          <w:sz w:val="24"/>
          <w:szCs w:val="24"/>
        </w:rPr>
        <w:t>二、</w:t>
      </w:r>
      <w:bookmarkEnd w:id="4"/>
      <w:bookmarkEnd w:id="5"/>
      <w:r>
        <w:rPr>
          <w:rFonts w:hint="eastAsia" w:ascii="楷体" w:hAnsi="楷体" w:eastAsia="楷体" w:cs="楷体"/>
          <w:sz w:val="24"/>
          <w:szCs w:val="24"/>
          <w:lang w:eastAsia="zh-CN"/>
        </w:rPr>
        <w:t>公开询价报价</w:t>
      </w:r>
      <w:r>
        <w:rPr>
          <w:rFonts w:hint="eastAsia" w:ascii="楷体" w:hAnsi="楷体" w:eastAsia="楷体" w:cs="楷体"/>
          <w:sz w:val="24"/>
          <w:szCs w:val="24"/>
        </w:rPr>
        <w:t>说明</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(一)</w:t>
      </w:r>
      <w:r>
        <w:rPr>
          <w:rFonts w:hint="eastAsia" w:ascii="楷体" w:hAnsi="楷体" w:eastAsia="楷体" w:cs="楷体"/>
          <w:bCs/>
          <w:sz w:val="24"/>
          <w:szCs w:val="24"/>
          <w:lang w:val="en-US" w:eastAsia="zh-CN"/>
        </w:rPr>
        <w:t>公开询价</w:t>
      </w:r>
      <w:r>
        <w:rPr>
          <w:rFonts w:hint="eastAsia" w:ascii="楷体" w:hAnsi="楷体" w:eastAsia="楷体" w:cs="楷体"/>
          <w:bCs/>
          <w:sz w:val="24"/>
          <w:szCs w:val="24"/>
        </w:rPr>
        <w:t>文件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公开询价报价</w:t>
      </w:r>
      <w:r>
        <w:rPr>
          <w:rFonts w:hint="eastAsia" w:ascii="楷体" w:hAnsi="楷体" w:eastAsia="楷体" w:cs="楷体"/>
          <w:bCs/>
          <w:sz w:val="24"/>
          <w:szCs w:val="24"/>
        </w:rPr>
        <w:t>人须知</w:t>
      </w:r>
    </w:p>
    <w:p>
      <w:pPr>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2</w:t>
      </w:r>
      <w:r>
        <w:rPr>
          <w:rFonts w:hint="eastAsia" w:ascii="楷体" w:hAnsi="楷体" w:eastAsia="楷体" w:cs="楷体"/>
          <w:bCs/>
          <w:sz w:val="24"/>
          <w:szCs w:val="24"/>
        </w:rPr>
        <w:t>、</w:t>
      </w:r>
      <w:r>
        <w:rPr>
          <w:rFonts w:hint="eastAsia" w:ascii="楷体" w:hAnsi="楷体" w:eastAsia="楷体" w:cs="楷体"/>
          <w:bCs/>
          <w:sz w:val="24"/>
          <w:szCs w:val="24"/>
          <w:lang w:val="en-US" w:eastAsia="zh-CN"/>
        </w:rPr>
        <w:t>合同（格式）</w:t>
      </w:r>
      <w:r>
        <w:rPr>
          <w:rFonts w:hint="eastAsia" w:ascii="楷体" w:hAnsi="楷体" w:eastAsia="楷体" w:cs="楷体"/>
          <w:bCs/>
          <w:sz w:val="24"/>
          <w:szCs w:val="24"/>
        </w:rPr>
        <w:br w:type="textWrapping"/>
      </w:r>
      <w:r>
        <w:rPr>
          <w:rFonts w:hint="eastAsia" w:ascii="楷体" w:hAnsi="楷体" w:eastAsia="楷体" w:cs="楷体"/>
          <w:bCs/>
          <w:sz w:val="24"/>
          <w:szCs w:val="24"/>
          <w:lang w:val="en-US" w:eastAsia="zh-CN"/>
        </w:rPr>
        <w:t>3、报价书</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（二）</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文件具体要求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1、本次</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的内容：</w:t>
      </w:r>
      <w:r>
        <w:rPr>
          <w:rFonts w:hint="eastAsia" w:ascii="楷体" w:hAnsi="楷体" w:eastAsia="楷体" w:cs="楷体"/>
          <w:sz w:val="24"/>
          <w:szCs w:val="24"/>
          <w:u w:val="single"/>
          <w:lang w:val="en-US" w:eastAsia="zh-CN"/>
        </w:rPr>
        <w:t>ALC轻质隔墙板</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i w:val="0"/>
          <w:caps w:val="0"/>
          <w:color w:val="000000"/>
          <w:spacing w:val="0"/>
          <w:sz w:val="24"/>
          <w:szCs w:val="24"/>
          <w:lang w:eastAsia="zh-CN"/>
        </w:rPr>
      </w:pPr>
      <w:r>
        <w:rPr>
          <w:rFonts w:hint="eastAsia" w:ascii="楷体" w:hAnsi="楷体" w:eastAsia="楷体" w:cs="楷体"/>
          <w:bCs/>
          <w:sz w:val="24"/>
          <w:szCs w:val="24"/>
        </w:rPr>
        <w:t>2、承包方式：</w:t>
      </w:r>
      <w:r>
        <w:rPr>
          <w:rFonts w:hint="eastAsia" w:ascii="楷体" w:hAnsi="楷体" w:eastAsia="楷体" w:cs="楷体"/>
          <w:sz w:val="24"/>
          <w:szCs w:val="24"/>
          <w:u w:val="single"/>
          <w:lang w:val="en-US" w:eastAsia="zh-CN"/>
        </w:rPr>
        <w:t>ALC轻质隔墙板</w:t>
      </w:r>
      <w:r>
        <w:rPr>
          <w:rFonts w:hint="eastAsia" w:ascii="楷体" w:hAnsi="楷体" w:eastAsia="楷体" w:cs="楷体"/>
          <w:i w:val="0"/>
          <w:caps w:val="0"/>
          <w:color w:val="000000"/>
          <w:spacing w:val="0"/>
          <w:sz w:val="24"/>
          <w:szCs w:val="24"/>
        </w:rPr>
        <w:t>的供应（包括供应商出售该物资应缴纳税金及一切税费、装</w:t>
      </w:r>
      <w:r>
        <w:rPr>
          <w:rFonts w:hint="eastAsia" w:ascii="楷体" w:hAnsi="楷体" w:eastAsia="楷体" w:cs="楷体"/>
          <w:i w:val="0"/>
          <w:caps w:val="0"/>
          <w:color w:val="000000"/>
          <w:spacing w:val="0"/>
          <w:sz w:val="24"/>
          <w:szCs w:val="24"/>
          <w:lang w:val="en-US" w:eastAsia="zh-CN"/>
        </w:rPr>
        <w:t>卸</w:t>
      </w:r>
      <w:r>
        <w:rPr>
          <w:rFonts w:hint="eastAsia" w:ascii="楷体" w:hAnsi="楷体" w:eastAsia="楷体" w:cs="楷体"/>
          <w:i w:val="0"/>
          <w:caps w:val="0"/>
          <w:color w:val="000000"/>
          <w:spacing w:val="0"/>
          <w:sz w:val="24"/>
          <w:szCs w:val="24"/>
        </w:rPr>
        <w:t>车费、包装费、保险费、运输费，以及其他运抵至甲方指定交货地点的一切费用；包括售后服务以及市场价格涨幅等的各类风险费用；以及其他所有相关服务费用</w:t>
      </w:r>
      <w:r>
        <w:rPr>
          <w:rFonts w:hint="eastAsia" w:ascii="楷体" w:hAnsi="楷体" w:eastAsia="楷体" w:cs="楷体"/>
          <w:i w:val="0"/>
          <w:caps w:val="0"/>
          <w:color w:val="000000"/>
          <w:spacing w:val="0"/>
          <w:sz w:val="24"/>
          <w:szCs w:val="24"/>
          <w:lang w:val="en-US" w:eastAsia="zh-CN"/>
        </w:rPr>
        <w:t>等</w:t>
      </w:r>
      <w:r>
        <w:rPr>
          <w:rFonts w:hint="eastAsia" w:ascii="楷体" w:hAnsi="楷体" w:eastAsia="楷体" w:cs="楷体"/>
          <w:i w:val="0"/>
          <w:caps w:val="0"/>
          <w:color w:val="000000"/>
          <w:spacing w:val="0"/>
          <w:sz w:val="24"/>
          <w:szCs w:val="24"/>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3.</w:t>
      </w:r>
      <w:bookmarkStart w:id="6" w:name="_Toc343692942"/>
      <w:bookmarkStart w:id="7" w:name="_Toc343700740"/>
      <w:r>
        <w:rPr>
          <w:rFonts w:hint="eastAsia" w:ascii="楷体" w:hAnsi="楷体" w:eastAsia="楷体" w:cs="楷体"/>
          <w:bCs/>
          <w:sz w:val="24"/>
          <w:szCs w:val="24"/>
        </w:rPr>
        <w:t>1、供应材料均应符合标准等国家标准、行业标准、地方标准及甲方提出的要求</w:t>
      </w:r>
      <w:r>
        <w:rPr>
          <w:rFonts w:hint="eastAsia" w:ascii="楷体" w:hAnsi="楷体" w:eastAsia="楷体" w:cs="楷体"/>
          <w:bCs/>
          <w:sz w:val="24"/>
          <w:szCs w:val="24"/>
          <w:lang w:eastAsia="zh-CN"/>
        </w:rPr>
        <w:t>，</w:t>
      </w:r>
      <w:r>
        <w:rPr>
          <w:rFonts w:hint="eastAsia" w:ascii="楷体" w:hAnsi="楷体" w:eastAsia="楷体" w:cs="楷体"/>
          <w:bCs/>
          <w:sz w:val="24"/>
          <w:szCs w:val="24"/>
        </w:rPr>
        <w:t>按照《中华人民共和国产品质量法》及相关的产品质量标准规定执行及业主</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要求、设计为准。</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2、进场的物资必须符合国家相关标准。如发生质量问题，乙方包退、包换。确保进场材料质量合格率100%，并须在材料进场的同时提供材料的质量检验部门的产品材质证明书（甲方有权对所采购的材料进行进一步检测），且材质证明书内容要和现场进料单及标牌所标明内容相对应。</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3、材料质量应严格符合工程所需材料质量验收标准、设计、合同及有关工程施工及验收规范的要求。同时，乙方的材料质量必须满足甲方保证工程质量而对质量、服务等提出的各种进一步要求，并以之为依据出具详尽的服务承诺。供应的产品应以样品为样板，否则，甲方有权随时解除合同，由此造成甲方工期延误的损失及紧急订货增加的费用等均由乙方承担。</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4、乙方的产品应符合国家有关环保法律法规的规定以及甲方ISO14000环境体系要求，不能对施工环境造成污染；同时，该货物还应该符合甲方OHSMS18000职业安全健康管理体系标准的要求，不能对接触货物的有关人员及竣工后的使用人员的健康造成危害。</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4</w:t>
      </w:r>
      <w:r>
        <w:rPr>
          <w:rFonts w:hint="eastAsia" w:ascii="楷体" w:hAnsi="楷体" w:eastAsia="楷体" w:cs="楷体"/>
          <w:bCs/>
          <w:sz w:val="24"/>
          <w:szCs w:val="24"/>
        </w:rPr>
        <w:t>、验收方法：</w:t>
      </w:r>
      <w:r>
        <w:rPr>
          <w:rFonts w:hint="eastAsia" w:ascii="楷体" w:hAnsi="楷体" w:eastAsia="楷体" w:cs="楷体"/>
          <w:bCs/>
          <w:sz w:val="24"/>
          <w:szCs w:val="24"/>
          <w:lang w:val="en-US" w:eastAsia="zh-CN"/>
        </w:rPr>
        <w:t>买方</w:t>
      </w:r>
      <w:r>
        <w:rPr>
          <w:rFonts w:hint="eastAsia" w:ascii="楷体" w:hAnsi="楷体" w:eastAsia="楷体" w:cs="楷体"/>
          <w:bCs/>
          <w:sz w:val="24"/>
          <w:szCs w:val="24"/>
        </w:rPr>
        <w:t>有权利对进场的物资进行各种形式的检验，供应商必须充分配合。所供物资均应符合现行国家标准，具有质量检验部门的产品合格证、检测报告及产品性能说明书，并应表明生产厂家、规格和生产日期，物资进场时将以上合格资料一同交由承包方。</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5</w:t>
      </w:r>
      <w:r>
        <w:rPr>
          <w:rFonts w:hint="eastAsia" w:ascii="楷体" w:hAnsi="楷体" w:eastAsia="楷体" w:cs="楷体"/>
          <w:bCs/>
          <w:sz w:val="24"/>
          <w:szCs w:val="24"/>
        </w:rPr>
        <w:t>、送货方式：根据</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单位要求的时间送货到指定位置</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送货地点：儋州市项目指定地点</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6、</w:t>
      </w:r>
      <w:r>
        <w:rPr>
          <w:rFonts w:hint="eastAsia" w:ascii="楷体" w:hAnsi="楷体" w:eastAsia="楷体" w:cs="楷体"/>
          <w:bCs/>
          <w:sz w:val="24"/>
          <w:szCs w:val="24"/>
        </w:rPr>
        <w:t>合同文本：供货合同将以此</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文件为基础签订，凡参与的单位皆被视为认可</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文件中出现的所有条款，并被视为</w:t>
      </w:r>
      <w:r>
        <w:rPr>
          <w:rFonts w:hint="eastAsia" w:ascii="楷体" w:hAnsi="楷体" w:eastAsia="楷体" w:cs="楷体"/>
          <w:bCs/>
          <w:sz w:val="24"/>
          <w:szCs w:val="24"/>
          <w:lang w:eastAsia="zh-CN"/>
        </w:rPr>
        <w:t xml:space="preserve"> </w:t>
      </w:r>
      <w:r>
        <w:rPr>
          <w:rFonts w:hint="eastAsia" w:ascii="楷体" w:hAnsi="楷体" w:eastAsia="楷体" w:cs="楷体"/>
          <w:bCs/>
          <w:sz w:val="24"/>
          <w:szCs w:val="24"/>
        </w:rPr>
        <w:t>单位已把</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文件中出现的所有条款综合考虑在自己的报价中。</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w:t>
      </w:r>
      <w:r>
        <w:rPr>
          <w:rFonts w:hint="eastAsia" w:ascii="楷体" w:hAnsi="楷体" w:eastAsia="楷体" w:cs="楷体"/>
          <w:bCs/>
          <w:sz w:val="24"/>
          <w:szCs w:val="24"/>
          <w:lang w:eastAsia="zh-CN"/>
        </w:rPr>
        <w:t>成交</w:t>
      </w:r>
      <w:r>
        <w:rPr>
          <w:rFonts w:hint="eastAsia" w:ascii="楷体" w:hAnsi="楷体" w:eastAsia="楷体" w:cs="楷体"/>
          <w:bCs/>
          <w:sz w:val="24"/>
          <w:szCs w:val="24"/>
        </w:rPr>
        <w:t>资格，</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单位与备选</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单位签订合同。</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7</w:t>
      </w:r>
      <w:r>
        <w:rPr>
          <w:rFonts w:hint="eastAsia" w:ascii="楷体" w:hAnsi="楷体" w:eastAsia="楷体" w:cs="楷体"/>
          <w:bCs/>
          <w:sz w:val="24"/>
          <w:szCs w:val="24"/>
        </w:rPr>
        <w:t>、对未</w:t>
      </w:r>
      <w:r>
        <w:rPr>
          <w:rFonts w:hint="eastAsia" w:ascii="楷体" w:hAnsi="楷体" w:eastAsia="楷体" w:cs="楷体"/>
          <w:bCs/>
          <w:sz w:val="24"/>
          <w:szCs w:val="24"/>
          <w:lang w:eastAsia="zh-CN"/>
        </w:rPr>
        <w:t>成交</w:t>
      </w:r>
      <w:r>
        <w:rPr>
          <w:rFonts w:hint="eastAsia" w:ascii="楷体" w:hAnsi="楷体" w:eastAsia="楷体" w:cs="楷体"/>
          <w:bCs/>
          <w:sz w:val="24"/>
          <w:szCs w:val="24"/>
        </w:rPr>
        <w:t>的单位不做经济方面或其他方面的赔偿，也不做解释，谨对合作表示衷心的感谢。</w:t>
      </w:r>
    </w:p>
    <w:p>
      <w:pPr>
        <w:pStyle w:val="6"/>
        <w:pageBreakBefore w:val="0"/>
        <w:widowControl w:val="0"/>
        <w:kinsoku/>
        <w:wordWrap/>
        <w:overflowPunct/>
        <w:topLinePunct w:val="0"/>
        <w:autoSpaceDE/>
        <w:autoSpaceDN/>
        <w:bidi w:val="0"/>
        <w:adjustRightInd/>
        <w:snapToGrid/>
        <w:spacing w:before="0" w:line="400" w:lineRule="exact"/>
        <w:ind w:firstLine="482" w:firstLineChars="200"/>
        <w:textAlignment w:val="auto"/>
        <w:rPr>
          <w:rFonts w:hint="eastAsia" w:ascii="楷体" w:hAnsi="楷体" w:eastAsia="楷体" w:cs="楷体"/>
          <w:sz w:val="24"/>
          <w:szCs w:val="24"/>
        </w:rPr>
      </w:pPr>
      <w:r>
        <w:rPr>
          <w:rFonts w:hint="eastAsia" w:ascii="楷体" w:hAnsi="楷体" w:eastAsia="楷体" w:cs="楷体"/>
          <w:sz w:val="24"/>
          <w:szCs w:val="24"/>
        </w:rPr>
        <w:t>三、</w:t>
      </w:r>
      <w:r>
        <w:rPr>
          <w:rFonts w:hint="eastAsia" w:ascii="楷体" w:hAnsi="楷体" w:eastAsia="楷体" w:cs="楷体"/>
          <w:sz w:val="24"/>
          <w:szCs w:val="24"/>
          <w:lang w:val="en-US" w:eastAsia="zh-CN"/>
        </w:rPr>
        <w:t>报价</w:t>
      </w:r>
      <w:r>
        <w:rPr>
          <w:rFonts w:hint="eastAsia" w:ascii="楷体" w:hAnsi="楷体" w:eastAsia="楷体" w:cs="楷体"/>
          <w:sz w:val="24"/>
          <w:szCs w:val="24"/>
        </w:rPr>
        <w:t>书的编制和递交</w:t>
      </w:r>
      <w:bookmarkEnd w:id="6"/>
      <w:bookmarkEnd w:id="7"/>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（一）材料构成：</w:t>
      </w:r>
      <w:r>
        <w:rPr>
          <w:rFonts w:hint="eastAsia" w:ascii="楷体" w:hAnsi="楷体" w:eastAsia="楷体" w:cs="楷体"/>
          <w:bCs/>
          <w:sz w:val="24"/>
          <w:szCs w:val="24"/>
          <w:lang w:val="en-US" w:eastAsia="zh-CN"/>
        </w:rPr>
        <w:t>按照第三章报价书（格式）要求提供，内容包括</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val="0"/>
          <w:sz w:val="24"/>
          <w:szCs w:val="24"/>
        </w:rPr>
      </w:pPr>
      <w:r>
        <w:rPr>
          <w:rFonts w:hint="eastAsia" w:ascii="楷体" w:hAnsi="楷体" w:eastAsia="楷体" w:cs="楷体"/>
          <w:b/>
          <w:bCs w:val="0"/>
          <w:sz w:val="24"/>
          <w:szCs w:val="24"/>
          <w:lang w:val="en-US" w:eastAsia="zh-CN"/>
        </w:rPr>
        <w:t>1</w:t>
      </w:r>
      <w:r>
        <w:rPr>
          <w:rFonts w:hint="eastAsia" w:ascii="楷体" w:hAnsi="楷体" w:eastAsia="楷体" w:cs="楷体"/>
          <w:b/>
          <w:bCs w:val="0"/>
          <w:sz w:val="24"/>
          <w:szCs w:val="24"/>
        </w:rPr>
        <w:t>、</w:t>
      </w:r>
      <w:r>
        <w:rPr>
          <w:rFonts w:hint="eastAsia" w:ascii="楷体" w:hAnsi="楷体" w:eastAsia="楷体" w:cs="楷体"/>
          <w:b/>
          <w:bCs w:val="0"/>
          <w:sz w:val="24"/>
          <w:szCs w:val="24"/>
          <w:lang w:val="en-US" w:eastAsia="zh-CN"/>
        </w:rPr>
        <w:t>报价表</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val="0"/>
          <w:sz w:val="24"/>
          <w:szCs w:val="24"/>
        </w:rPr>
      </w:pPr>
      <w:r>
        <w:rPr>
          <w:rFonts w:hint="eastAsia" w:ascii="楷体" w:hAnsi="楷体" w:eastAsia="楷体" w:cs="楷体"/>
          <w:b/>
          <w:bCs w:val="0"/>
          <w:sz w:val="24"/>
          <w:szCs w:val="24"/>
          <w:lang w:val="en-US" w:eastAsia="zh-CN"/>
        </w:rPr>
        <w:t>2</w:t>
      </w:r>
      <w:r>
        <w:rPr>
          <w:rFonts w:hint="eastAsia" w:ascii="楷体" w:hAnsi="楷体" w:eastAsia="楷体" w:cs="楷体"/>
          <w:b/>
          <w:bCs w:val="0"/>
          <w:sz w:val="24"/>
          <w:szCs w:val="24"/>
        </w:rPr>
        <w:t>、</w:t>
      </w:r>
      <w:r>
        <w:rPr>
          <w:rFonts w:hint="eastAsia" w:ascii="楷体" w:hAnsi="楷体" w:eastAsia="楷体" w:cs="楷体"/>
          <w:b/>
          <w:bCs w:val="0"/>
          <w:sz w:val="24"/>
          <w:szCs w:val="24"/>
          <w:lang w:val="en-US" w:eastAsia="zh-CN"/>
        </w:rPr>
        <w:t>报价</w:t>
      </w:r>
      <w:r>
        <w:rPr>
          <w:rFonts w:hint="eastAsia" w:ascii="楷体" w:hAnsi="楷体" w:eastAsia="楷体" w:cs="楷体"/>
          <w:b/>
          <w:bCs w:val="0"/>
          <w:sz w:val="24"/>
          <w:szCs w:val="24"/>
        </w:rPr>
        <w:t>承诺函</w:t>
      </w:r>
    </w:p>
    <w:p>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val="0"/>
          <w:sz w:val="24"/>
          <w:szCs w:val="24"/>
        </w:rPr>
      </w:pPr>
      <w:r>
        <w:rPr>
          <w:rFonts w:hint="eastAsia" w:ascii="楷体" w:hAnsi="楷体" w:eastAsia="楷体" w:cs="楷体"/>
          <w:b/>
          <w:bCs w:val="0"/>
          <w:sz w:val="24"/>
          <w:szCs w:val="24"/>
          <w:lang w:val="en-US" w:eastAsia="zh-CN"/>
        </w:rPr>
        <w:t>3</w:t>
      </w:r>
      <w:r>
        <w:rPr>
          <w:rFonts w:hint="eastAsia" w:ascii="楷体" w:hAnsi="楷体" w:eastAsia="楷体" w:cs="楷体"/>
          <w:b/>
          <w:bCs w:val="0"/>
          <w:sz w:val="24"/>
          <w:szCs w:val="24"/>
        </w:rPr>
        <w:t>、法定代表人授权委托书</w:t>
      </w:r>
    </w:p>
    <w:p>
      <w:pPr>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4、无重大违法记录声明函</w:t>
      </w:r>
    </w:p>
    <w:p>
      <w:pPr>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default"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5、报价单位认为需要提供的其他文件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（二）填写要求:</w:t>
      </w:r>
      <w:r>
        <w:rPr>
          <w:rFonts w:hint="eastAsia" w:ascii="楷体" w:hAnsi="楷体" w:eastAsia="楷体" w:cs="楷体"/>
          <w:bCs/>
          <w:sz w:val="24"/>
          <w:szCs w:val="24"/>
          <w:lang w:val="en-US" w:eastAsia="zh-CN"/>
        </w:rPr>
        <w:t>按照报价书格式要求签字、盖章。报价</w:t>
      </w:r>
      <w:r>
        <w:rPr>
          <w:rFonts w:hint="eastAsia" w:ascii="楷体" w:hAnsi="楷体" w:eastAsia="楷体" w:cs="楷体"/>
          <w:bCs/>
          <w:sz w:val="24"/>
          <w:szCs w:val="24"/>
        </w:rPr>
        <w:t>书中的企业的名称应准确无误。</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（三）材料递交时间和地点按</w:t>
      </w:r>
      <w:r>
        <w:rPr>
          <w:rFonts w:hint="eastAsia" w:ascii="楷体" w:hAnsi="楷体" w:eastAsia="楷体" w:cs="楷体"/>
          <w:bCs/>
          <w:sz w:val="24"/>
          <w:szCs w:val="24"/>
          <w:lang w:val="en-US" w:eastAsia="zh-CN"/>
        </w:rPr>
        <w:t>海南洋浦陆海国际贸易有限公司</w:t>
      </w:r>
      <w:r>
        <w:rPr>
          <w:rFonts w:hint="eastAsia" w:ascii="楷体" w:hAnsi="楷体" w:eastAsia="楷体" w:cs="楷体"/>
          <w:bCs/>
          <w:sz w:val="24"/>
          <w:szCs w:val="24"/>
        </w:rPr>
        <w:t>要求执行，因不可抗力原因，可酌情延长材料递交截止时间。</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（四）材料其它要求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1、提供的资料必须真实、完整、合法。</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2、所有材料均须由持有法人代表授权书的被授权人递交。</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3、</w:t>
      </w:r>
      <w:r>
        <w:rPr>
          <w:rFonts w:hint="eastAsia" w:ascii="楷体" w:hAnsi="楷体" w:eastAsia="楷体" w:cs="楷体"/>
          <w:bCs/>
          <w:sz w:val="24"/>
          <w:szCs w:val="24"/>
          <w:lang w:val="en-US" w:eastAsia="zh-CN"/>
        </w:rPr>
        <w:t>投标时无需厂家提供授权书，中标后需提供厂家授权书</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4、提供虚假资质证明文件的，一经发现立即取消其资格，并交由相关部门依法处理。</w:t>
      </w:r>
    </w:p>
    <w:p>
      <w:pPr>
        <w:pStyle w:val="6"/>
        <w:pageBreakBefore w:val="0"/>
        <w:widowControl w:val="0"/>
        <w:kinsoku/>
        <w:wordWrap/>
        <w:overflowPunct/>
        <w:topLinePunct w:val="0"/>
        <w:autoSpaceDE/>
        <w:autoSpaceDN/>
        <w:bidi w:val="0"/>
        <w:adjustRightInd/>
        <w:snapToGrid/>
        <w:spacing w:before="0" w:line="400" w:lineRule="exact"/>
        <w:ind w:firstLine="482" w:firstLineChars="200"/>
        <w:textAlignment w:val="auto"/>
        <w:rPr>
          <w:rFonts w:hint="eastAsia" w:ascii="楷体" w:hAnsi="楷体" w:eastAsia="楷体" w:cs="楷体"/>
          <w:sz w:val="24"/>
          <w:szCs w:val="24"/>
        </w:rPr>
      </w:pPr>
      <w:bookmarkStart w:id="8" w:name="_Toc343700741"/>
      <w:bookmarkStart w:id="9" w:name="_Toc343692943"/>
      <w:r>
        <w:rPr>
          <w:rFonts w:hint="eastAsia" w:ascii="楷体" w:hAnsi="楷体" w:eastAsia="楷体" w:cs="楷体"/>
          <w:sz w:val="24"/>
          <w:szCs w:val="24"/>
        </w:rPr>
        <w:t>四、报价</w:t>
      </w:r>
      <w:bookmarkEnd w:id="8"/>
      <w:bookmarkEnd w:id="9"/>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（一）</w:t>
      </w:r>
      <w:r>
        <w:rPr>
          <w:rFonts w:hint="eastAsia" w:ascii="楷体" w:hAnsi="楷体" w:eastAsia="楷体" w:cs="楷体"/>
          <w:bCs/>
          <w:sz w:val="24"/>
          <w:szCs w:val="24"/>
          <w:lang w:val="en-US" w:eastAsia="zh-CN"/>
        </w:rPr>
        <w:t>报价单位</w:t>
      </w:r>
      <w:r>
        <w:rPr>
          <w:rFonts w:hint="eastAsia" w:ascii="楷体" w:hAnsi="楷体" w:eastAsia="楷体" w:cs="楷体"/>
          <w:bCs/>
          <w:sz w:val="24"/>
          <w:szCs w:val="24"/>
        </w:rPr>
        <w:t>可在递交的材料中，依据文件的格式要求填报纸质版《报价书》。</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（二）</w:t>
      </w:r>
      <w:r>
        <w:rPr>
          <w:rFonts w:hint="eastAsia" w:ascii="楷体" w:hAnsi="楷体" w:eastAsia="楷体" w:cs="楷体"/>
          <w:b/>
          <w:bCs w:val="0"/>
          <w:sz w:val="24"/>
          <w:szCs w:val="24"/>
          <w:lang w:val="en-US" w:eastAsia="zh-CN"/>
        </w:rPr>
        <w:t>报价单位</w:t>
      </w:r>
      <w:r>
        <w:rPr>
          <w:rFonts w:hint="eastAsia" w:ascii="楷体" w:hAnsi="楷体" w:eastAsia="楷体" w:cs="楷体"/>
          <w:b/>
          <w:bCs w:val="0"/>
          <w:sz w:val="24"/>
          <w:szCs w:val="24"/>
        </w:rPr>
        <w:t>的报价应为以“</w:t>
      </w:r>
      <w:r>
        <w:rPr>
          <w:rFonts w:hint="eastAsia" w:ascii="楷体" w:hAnsi="楷体" w:eastAsia="楷体" w:cs="楷体"/>
          <w:b/>
          <w:bCs w:val="0"/>
          <w:sz w:val="24"/>
          <w:szCs w:val="24"/>
          <w:lang w:val="en-US" w:eastAsia="zh-CN"/>
        </w:rPr>
        <w:t>平方米</w:t>
      </w:r>
      <w:r>
        <w:rPr>
          <w:rFonts w:hint="eastAsia" w:ascii="楷体" w:hAnsi="楷体" w:eastAsia="楷体" w:cs="楷体"/>
          <w:b/>
          <w:bCs w:val="0"/>
          <w:sz w:val="24"/>
          <w:szCs w:val="24"/>
        </w:rPr>
        <w:t>”为单位的单价。</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bCs/>
          <w:sz w:val="24"/>
          <w:szCs w:val="24"/>
        </w:rPr>
        <w:t>（三）报价使用货币为人民币，单位为“元/</w:t>
      </w:r>
      <w:r>
        <w:rPr>
          <w:rFonts w:hint="eastAsia" w:ascii="楷体" w:hAnsi="楷体" w:eastAsia="楷体" w:cs="楷体"/>
          <w:bCs/>
          <w:sz w:val="24"/>
          <w:szCs w:val="24"/>
          <w:lang w:val="en-US" w:eastAsia="zh-CN"/>
        </w:rPr>
        <w:t>平方米</w:t>
      </w:r>
      <w:r>
        <w:rPr>
          <w:rFonts w:hint="eastAsia" w:ascii="楷体" w:hAnsi="楷体" w:eastAsia="楷体" w:cs="楷体"/>
          <w:bCs/>
          <w:sz w:val="24"/>
          <w:szCs w:val="24"/>
        </w:rPr>
        <w:t>”，报价保留到小数点后两位。</w:t>
      </w:r>
    </w:p>
    <w:p>
      <w:pPr>
        <w:pageBreakBefore w:val="0"/>
        <w:widowControl w:val="0"/>
        <w:tabs>
          <w:tab w:val="left" w:pos="709"/>
        </w:tabs>
        <w:kinsoku/>
        <w:wordWrap/>
        <w:overflowPunct/>
        <w:topLinePunct w:val="0"/>
        <w:autoSpaceDE/>
        <w:autoSpaceDN/>
        <w:bidi w:val="0"/>
        <w:adjustRightInd/>
        <w:snapToGrid/>
        <w:spacing w:line="400" w:lineRule="exact"/>
        <w:ind w:firstLine="480" w:firstLineChars="200"/>
        <w:textAlignment w:val="auto"/>
        <w:rPr>
          <w:rFonts w:hint="default"/>
          <w:lang w:val="en-US" w:eastAsia="zh-CN"/>
        </w:rPr>
        <w:sectPr>
          <w:pgSz w:w="11906" w:h="16838"/>
          <w:pgMar w:top="1440" w:right="1800" w:bottom="1247" w:left="1800" w:header="851" w:footer="992" w:gutter="0"/>
          <w:cols w:space="0" w:num="1"/>
          <w:docGrid w:type="lines" w:linePitch="312" w:charSpace="0"/>
        </w:sectPr>
      </w:pPr>
      <w:r>
        <w:rPr>
          <w:rFonts w:hint="eastAsia" w:ascii="楷体" w:hAnsi="楷体" w:eastAsia="楷体" w:cs="楷体"/>
          <w:bCs/>
          <w:sz w:val="24"/>
          <w:szCs w:val="24"/>
        </w:rPr>
        <w:t>（四）报价是指供货商供应的落地价</w:t>
      </w:r>
      <w:r>
        <w:rPr>
          <w:rFonts w:hint="eastAsia" w:ascii="楷体" w:hAnsi="楷体" w:eastAsia="楷体" w:cs="楷体"/>
          <w:sz w:val="24"/>
          <w:szCs w:val="24"/>
        </w:rPr>
        <w:t>。</w:t>
      </w:r>
      <w:bookmarkStart w:id="10" w:name="_Toc343692950"/>
      <w:bookmarkStart w:id="11" w:name="_Toc343700748"/>
      <w:r>
        <w:rPr>
          <w:rFonts w:hint="eastAsia" w:ascii="楷体" w:hAnsi="楷体" w:eastAsia="楷体" w:cs="楷体"/>
          <w:sz w:val="24"/>
          <w:szCs w:val="24"/>
        </w:rPr>
        <w:br w:type="textWrapping"/>
      </w:r>
    </w:p>
    <w:bookmarkEnd w:id="10"/>
    <w:bookmarkEnd w:id="11"/>
    <w:p>
      <w:pPr>
        <w:rPr>
          <w:rFonts w:hint="eastAsia" w:ascii="楷体" w:hAnsi="楷体" w:eastAsia="楷体" w:cs="楷体"/>
          <w:sz w:val="24"/>
          <w:szCs w:val="24"/>
          <w:lang w:val="en-US" w:eastAsia="zh-CN"/>
        </w:rPr>
      </w:pPr>
      <w:bookmarkStart w:id="12" w:name="_Toc343692951"/>
      <w:bookmarkStart w:id="13" w:name="_Toc343700749"/>
    </w:p>
    <w:p>
      <w:pPr>
        <w:numPr>
          <w:ilvl w:val="0"/>
          <w:numId w:val="1"/>
        </w:numPr>
        <w:ind w:left="765" w:leftChars="0" w:hanging="765" w:firstLineChars="0"/>
        <w:jc w:val="center"/>
        <w:outlineLvl w:val="0"/>
        <w:rPr>
          <w:rFonts w:hint="eastAsia" w:ascii="楷体" w:hAnsi="楷体" w:eastAsia="楷体" w:cs="楷体"/>
          <w:b/>
          <w:bCs/>
          <w:kern w:val="44"/>
          <w:sz w:val="24"/>
          <w:szCs w:val="24"/>
          <w:lang w:val="en-US" w:eastAsia="zh-CN" w:bidi="ar-SA"/>
        </w:rPr>
      </w:pPr>
      <w:r>
        <w:rPr>
          <w:rFonts w:hint="eastAsia" w:ascii="楷体" w:hAnsi="楷体" w:eastAsia="楷体" w:cs="楷体"/>
          <w:b/>
          <w:bCs/>
          <w:kern w:val="44"/>
          <w:sz w:val="24"/>
          <w:szCs w:val="24"/>
          <w:lang w:val="en-US" w:eastAsia="zh-CN" w:bidi="ar-SA"/>
        </w:rPr>
        <w:t>合同</w:t>
      </w:r>
    </w:p>
    <w:p>
      <w:pPr>
        <w:numPr>
          <w:ilvl w:val="0"/>
          <w:numId w:val="0"/>
        </w:numPr>
        <w:ind w:leftChars="0"/>
        <w:jc w:val="both"/>
        <w:rPr>
          <w:rFonts w:hint="eastAsia" w:ascii="楷体" w:hAnsi="楷体" w:eastAsia="楷体" w:cs="楷体"/>
          <w:b/>
          <w:bCs/>
          <w:kern w:val="44"/>
          <w:sz w:val="24"/>
          <w:szCs w:val="24"/>
          <w:lang w:val="en-US" w:eastAsia="zh-CN" w:bidi="ar-SA"/>
        </w:rPr>
      </w:pPr>
    </w:p>
    <w:p>
      <w:pPr>
        <w:numPr>
          <w:ilvl w:val="0"/>
          <w:numId w:val="0"/>
        </w:numPr>
        <w:ind w:leftChars="0"/>
        <w:jc w:val="both"/>
        <w:rPr>
          <w:rFonts w:hint="eastAsia" w:ascii="楷体" w:hAnsi="楷体" w:eastAsia="楷体" w:cs="楷体"/>
          <w:b/>
          <w:bCs/>
          <w:kern w:val="44"/>
          <w:sz w:val="24"/>
          <w:szCs w:val="24"/>
          <w:lang w:val="en-US" w:eastAsia="zh-CN" w:bidi="ar-SA"/>
        </w:rPr>
      </w:pPr>
    </w:p>
    <w:p>
      <w:pPr>
        <w:jc w:val="center"/>
        <w:rPr>
          <w:rFonts w:hint="eastAsia" w:ascii="宋体" w:hAnsi="宋体"/>
          <w:b/>
          <w:bCs/>
          <w:sz w:val="44"/>
          <w:szCs w:val="44"/>
          <w:lang w:eastAsia="zh-CN"/>
        </w:rPr>
      </w:pPr>
      <w:r>
        <w:rPr>
          <w:rFonts w:hint="eastAsia" w:ascii="宋体" w:hAnsi="宋体"/>
          <w:b/>
          <w:bCs/>
          <w:sz w:val="44"/>
          <w:szCs w:val="44"/>
          <w:lang w:eastAsia="zh-CN"/>
        </w:rPr>
        <w:t>海南洋浦陆海国际贸易有限公司</w:t>
      </w:r>
    </w:p>
    <w:p>
      <w:pPr>
        <w:jc w:val="center"/>
        <w:rPr>
          <w:rFonts w:hint="eastAsia" w:ascii="仿宋" w:hAnsi="仿宋" w:eastAsia="仿宋"/>
          <w:b/>
          <w:bCs/>
          <w:sz w:val="44"/>
          <w:szCs w:val="44"/>
        </w:rPr>
      </w:pPr>
      <w:r>
        <w:rPr>
          <w:rFonts w:hint="eastAsia" w:ascii="宋体" w:hAnsi="宋体" w:eastAsia="宋体" w:cs="Times New Roman"/>
          <w:b/>
          <w:bCs/>
          <w:sz w:val="44"/>
          <w:szCs w:val="44"/>
          <w:lang w:val="en-US" w:eastAsia="zh-CN"/>
        </w:rPr>
        <w:t>ALC轻质隔墙板</w:t>
      </w:r>
      <w:r>
        <w:rPr>
          <w:rFonts w:hint="eastAsia" w:ascii="宋体" w:hAnsi="宋体"/>
          <w:b/>
          <w:bCs/>
          <w:sz w:val="44"/>
          <w:szCs w:val="44"/>
        </w:rPr>
        <w:t>采购合同</w:t>
      </w:r>
    </w:p>
    <w:p>
      <w:pPr>
        <w:jc w:val="center"/>
        <w:rPr>
          <w:rFonts w:hint="eastAsia" w:ascii="仿宋" w:hAnsi="仿宋" w:eastAsia="仿宋"/>
          <w:b/>
          <w:bCs/>
          <w:sz w:val="44"/>
          <w:szCs w:val="44"/>
        </w:rPr>
      </w:pPr>
      <w:r>
        <w:rPr>
          <w:rFonts w:hint="eastAsia" w:ascii="仿宋" w:hAnsi="仿宋" w:eastAsia="仿宋"/>
          <w:b/>
          <w:bCs/>
          <w:sz w:val="44"/>
          <w:szCs w:val="44"/>
        </w:rPr>
        <w:t xml:space="preserve"> </w:t>
      </w: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jc w:val="center"/>
        <w:rPr>
          <w:rFonts w:hint="eastAsia" w:ascii="宋体" w:hAnsi="宋体" w:eastAsia="宋体" w:cs="Times New Roman"/>
          <w:b/>
          <w:bCs/>
          <w:sz w:val="44"/>
          <w:szCs w:val="44"/>
        </w:rPr>
      </w:pPr>
    </w:p>
    <w:p>
      <w:pPr>
        <w:jc w:val="center"/>
        <w:rPr>
          <w:rFonts w:hint="eastAsia" w:ascii="宋体" w:hAnsi="宋体" w:eastAsia="宋体" w:cs="Times New Roman"/>
          <w:b/>
          <w:bCs/>
          <w:sz w:val="30"/>
          <w:szCs w:val="30"/>
          <w:lang w:val="en-US" w:eastAsia="zh-CN"/>
        </w:rPr>
      </w:pPr>
      <w:r>
        <w:rPr>
          <w:rFonts w:hint="eastAsia" w:ascii="宋体" w:hAnsi="宋体" w:eastAsia="宋体" w:cs="Times New Roman"/>
          <w:b/>
          <w:bCs/>
          <w:sz w:val="30"/>
          <w:szCs w:val="30"/>
          <w:lang w:val="en-US" w:eastAsia="zh-CN"/>
        </w:rPr>
        <w:t>合同编号：</w:t>
      </w: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600" w:firstLineChars="200"/>
        <w:rPr>
          <w:rFonts w:hint="eastAsia" w:ascii="仿宋" w:hAnsi="仿宋" w:eastAsia="仿宋"/>
          <w:sz w:val="30"/>
          <w:szCs w:val="30"/>
        </w:rPr>
      </w:pPr>
      <w:r>
        <w:rPr>
          <w:rFonts w:hint="eastAsia" w:ascii="仿宋" w:hAnsi="仿宋" w:eastAsia="仿宋"/>
          <w:sz w:val="30"/>
          <w:szCs w:val="30"/>
        </w:rPr>
        <w:t>甲方（采购方）：</w:t>
      </w:r>
      <w:r>
        <w:rPr>
          <w:rFonts w:hint="eastAsia" w:ascii="仿宋" w:hAnsi="仿宋" w:eastAsia="仿宋"/>
          <w:sz w:val="30"/>
          <w:szCs w:val="30"/>
          <w:u w:val="single"/>
        </w:rPr>
        <w:t>海南洋浦陆海国际贸易有限公司</w:t>
      </w:r>
    </w:p>
    <w:p>
      <w:pPr>
        <w:ind w:firstLine="600" w:firstLineChars="200"/>
        <w:rPr>
          <w:rFonts w:hint="eastAsia" w:ascii="仿宋" w:hAnsi="仿宋" w:eastAsia="仿宋"/>
          <w:sz w:val="30"/>
          <w:szCs w:val="30"/>
          <w:u w:val="single"/>
        </w:rPr>
      </w:pPr>
      <w:r>
        <w:rPr>
          <w:rFonts w:hint="eastAsia" w:ascii="仿宋" w:hAnsi="仿宋" w:eastAsia="仿宋"/>
          <w:sz w:val="30"/>
          <w:szCs w:val="30"/>
        </w:rPr>
        <w:t>乙方（供应商）：</w:t>
      </w:r>
      <w:r>
        <w:rPr>
          <w:rFonts w:hint="eastAsia" w:ascii="仿宋" w:hAnsi="仿宋" w:eastAsia="仿宋"/>
          <w:sz w:val="30"/>
          <w:szCs w:val="30"/>
          <w:u w:val="single"/>
        </w:rPr>
        <w:t xml:space="preserve">                            </w:t>
      </w:r>
    </w:p>
    <w:p>
      <w:pPr>
        <w:ind w:left="2096" w:leftChars="284" w:hanging="1500" w:hangingChars="500"/>
        <w:rPr>
          <w:rFonts w:hint="eastAsia" w:ascii="仿宋" w:hAnsi="仿宋" w:eastAsia="仿宋"/>
          <w:sz w:val="30"/>
          <w:szCs w:val="30"/>
          <w:u w:val="single"/>
        </w:rPr>
      </w:pPr>
      <w:r>
        <w:rPr>
          <w:rFonts w:hint="eastAsia" w:ascii="仿宋" w:hAnsi="仿宋" w:eastAsia="仿宋"/>
          <w:sz w:val="30"/>
          <w:szCs w:val="30"/>
        </w:rPr>
        <w:t>签约地点：</w:t>
      </w:r>
      <w:r>
        <w:rPr>
          <w:rFonts w:hint="eastAsia" w:ascii="仿宋" w:hAnsi="仿宋" w:eastAsia="仿宋"/>
          <w:sz w:val="30"/>
          <w:szCs w:val="30"/>
          <w:u w:val="single"/>
        </w:rPr>
        <w:t>海南省儋州市洋浦经济开发区洋浦国际商业大厦</w:t>
      </w:r>
    </w:p>
    <w:p>
      <w:pPr>
        <w:ind w:firstLine="600" w:firstLineChars="200"/>
        <w:rPr>
          <w:rFonts w:hint="eastAsia" w:ascii="仿宋" w:hAnsi="仿宋" w:eastAsia="仿宋"/>
          <w:sz w:val="30"/>
          <w:szCs w:val="30"/>
          <w:u w:val="single"/>
        </w:rPr>
      </w:pPr>
      <w:r>
        <w:rPr>
          <w:rFonts w:hint="eastAsia" w:ascii="仿宋" w:hAnsi="仿宋" w:eastAsia="仿宋"/>
          <w:sz w:val="30"/>
          <w:szCs w:val="30"/>
          <w:u w:val="single"/>
        </w:rPr>
        <w:t>签约时间：202</w:t>
      </w:r>
      <w:r>
        <w:rPr>
          <w:rFonts w:hint="eastAsia" w:ascii="仿宋" w:hAnsi="仿宋" w:eastAsia="仿宋"/>
          <w:sz w:val="30"/>
          <w:szCs w:val="30"/>
          <w:u w:val="single"/>
          <w:lang w:val="en-US" w:eastAsia="zh-CN"/>
        </w:rPr>
        <w:t>4</w:t>
      </w:r>
      <w:r>
        <w:rPr>
          <w:rFonts w:hint="eastAsia" w:ascii="仿宋" w:hAnsi="仿宋" w:eastAsia="仿宋"/>
          <w:sz w:val="30"/>
          <w:szCs w:val="30"/>
          <w:u w:val="single"/>
        </w:rPr>
        <w:t>年   月   日</w:t>
      </w:r>
    </w:p>
    <w:p>
      <w:pPr>
        <w:rPr>
          <w:rFonts w:hint="eastAsia" w:ascii="仿宋" w:hAnsi="仿宋" w:eastAsia="仿宋"/>
          <w:b/>
          <w:bCs/>
          <w:sz w:val="44"/>
          <w:szCs w:val="44"/>
        </w:rPr>
      </w:pPr>
      <w:r>
        <w:rPr>
          <w:rFonts w:hint="eastAsia" w:ascii="仿宋" w:hAnsi="仿宋" w:eastAsia="仿宋"/>
          <w:b/>
          <w:bCs/>
          <w:sz w:val="44"/>
          <w:szCs w:val="44"/>
        </w:rPr>
        <w:t xml:space="preserve"> </w:t>
      </w:r>
    </w:p>
    <w:p>
      <w:pPr>
        <w:rPr>
          <w:rFonts w:hint="eastAsia" w:ascii="仿宋" w:hAnsi="仿宋" w:eastAsia="仿宋"/>
          <w:b/>
          <w:bCs/>
          <w:sz w:val="44"/>
          <w:szCs w:val="44"/>
        </w:rPr>
      </w:pPr>
      <w:r>
        <w:rPr>
          <w:rFonts w:hint="eastAsia" w:ascii="仿宋" w:hAnsi="仿宋" w:eastAsia="仿宋"/>
          <w:b/>
          <w:bCs/>
          <w:sz w:val="44"/>
          <w:szCs w:val="4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rPr>
        <w:sectPr>
          <w:pgSz w:w="11906" w:h="16838"/>
          <w:pgMar w:top="1440" w:right="1800" w:bottom="1247" w:left="1800" w:header="851" w:footer="992" w:gutter="0"/>
          <w:cols w:space="0" w:num="1"/>
          <w:docGrid w:type="lines" w:linePitch="312" w:charSpace="0"/>
        </w:sectPr>
      </w:pPr>
    </w:p>
    <w:p>
      <w:pPr>
        <w:pageBreakBefore w:val="0"/>
        <w:widowControl/>
        <w:kinsoku/>
        <w:wordWrap/>
        <w:overflowPunct/>
        <w:topLinePunct w:val="0"/>
        <w:autoSpaceDE/>
        <w:autoSpaceDN/>
        <w:bidi w:val="0"/>
        <w:adjustRightInd/>
        <w:snapToGrid/>
        <w:spacing w:line="400" w:lineRule="exact"/>
        <w:textAlignment w:val="auto"/>
        <w:rPr>
          <w:rFonts w:ascii="仿宋" w:hAnsi="仿宋" w:eastAsia="仿宋"/>
          <w:sz w:val="24"/>
          <w:szCs w:val="24"/>
        </w:rPr>
      </w:pPr>
      <w:r>
        <w:rPr>
          <w:rFonts w:hint="eastAsia" w:ascii="仿宋" w:hAnsi="仿宋" w:eastAsia="仿宋"/>
          <w:sz w:val="24"/>
          <w:szCs w:val="24"/>
        </w:rPr>
        <w:t>甲  方：</w:t>
      </w:r>
      <w:r>
        <w:rPr>
          <w:rFonts w:hint="eastAsia" w:ascii="仿宋" w:hAnsi="仿宋" w:eastAsia="仿宋"/>
          <w:sz w:val="24"/>
          <w:szCs w:val="24"/>
          <w:u w:val="single"/>
        </w:rPr>
        <w:t>海南洋浦陆海国际贸易有限公司</w:t>
      </w:r>
      <w:r>
        <w:rPr>
          <w:rFonts w:hint="eastAsia" w:ascii="仿宋" w:hAnsi="仿宋" w:eastAsia="仿宋"/>
          <w:sz w:val="24"/>
          <w:szCs w:val="2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u w:val="single"/>
        </w:rPr>
      </w:pPr>
      <w:r>
        <w:rPr>
          <w:rFonts w:hint="eastAsia" w:ascii="仿宋" w:hAnsi="仿宋" w:eastAsia="仿宋"/>
          <w:sz w:val="24"/>
          <w:szCs w:val="24"/>
        </w:rPr>
        <w:t>住  所：</w:t>
      </w:r>
      <w:r>
        <w:rPr>
          <w:rFonts w:hint="eastAsia" w:ascii="仿宋" w:hAnsi="仿宋" w:eastAsia="仿宋"/>
          <w:sz w:val="24"/>
          <w:szCs w:val="24"/>
          <w:u w:val="single"/>
        </w:rPr>
        <w:t>海南省洋浦经济开发区洋浦大厦3楼305房</w:t>
      </w:r>
    </w:p>
    <w:p>
      <w:pPr>
        <w:pStyle w:val="7"/>
        <w:pageBreakBefore w:val="0"/>
        <w:widowControl/>
        <w:kinsoku/>
        <w:wordWrap/>
        <w:overflowPunct/>
        <w:topLinePunct w:val="0"/>
        <w:autoSpaceDE/>
        <w:autoSpaceDN/>
        <w:bidi w:val="0"/>
        <w:adjustRightInd/>
        <w:snapToGrid/>
        <w:spacing w:line="400" w:lineRule="exact"/>
        <w:ind w:left="0" w:firstLine="0"/>
        <w:textAlignment w:val="auto"/>
        <w:rPr>
          <w:rFonts w:hint="eastAsia" w:ascii="仿宋" w:hAnsi="仿宋" w:eastAsia="仿宋"/>
          <w:b/>
          <w:bCs/>
          <w:sz w:val="24"/>
          <w:szCs w:val="24"/>
        </w:rPr>
      </w:pPr>
      <w:bookmarkStart w:id="14" w:name="_Toc145350959"/>
      <w:bookmarkStart w:id="15" w:name="_Toc145343938"/>
      <w:r>
        <w:rPr>
          <w:rFonts w:hint="eastAsia" w:ascii="仿宋" w:hAnsi="仿宋" w:eastAsia="仿宋"/>
          <w:b/>
          <w:bCs/>
          <w:sz w:val="24"/>
          <w:szCs w:val="24"/>
        </w:rPr>
        <w:t>法定代表人：</w:t>
      </w:r>
      <w:bookmarkEnd w:id="14"/>
      <w:bookmarkEnd w:id="15"/>
      <w:r>
        <w:rPr>
          <w:rFonts w:hint="eastAsia" w:ascii="仿宋" w:hAnsi="仿宋" w:eastAsia="仿宋"/>
          <w:b/>
          <w:bCs/>
          <w:sz w:val="24"/>
          <w:szCs w:val="24"/>
          <w:u w:val="single"/>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rPr>
      </w:pPr>
      <w:r>
        <w:rPr>
          <w:rFonts w:hint="eastAsia" w:ascii="仿宋" w:hAnsi="仿宋" w:eastAsia="仿宋"/>
          <w:kern w:val="0"/>
          <w:sz w:val="24"/>
          <w:szCs w:val="24"/>
        </w:rPr>
        <w:t>乙  方</w:t>
      </w: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u w:val="single"/>
        </w:rPr>
      </w:pPr>
      <w:r>
        <w:rPr>
          <w:rFonts w:hint="eastAsia" w:ascii="仿宋" w:hAnsi="仿宋" w:eastAsia="仿宋"/>
          <w:sz w:val="24"/>
          <w:szCs w:val="24"/>
        </w:rPr>
        <w:t xml:space="preserve">住  所：    </w:t>
      </w:r>
      <w:r>
        <w:rPr>
          <w:rFonts w:hint="eastAsia" w:ascii="仿宋" w:hAnsi="仿宋" w:eastAsia="仿宋"/>
          <w:sz w:val="24"/>
          <w:szCs w:val="24"/>
          <w:u w:val="single"/>
        </w:rPr>
        <w:t xml:space="preserve">        </w:t>
      </w:r>
    </w:p>
    <w:p>
      <w:pPr>
        <w:pStyle w:val="7"/>
        <w:pageBreakBefore w:val="0"/>
        <w:widowControl/>
        <w:kinsoku/>
        <w:wordWrap/>
        <w:overflowPunct/>
        <w:topLinePunct w:val="0"/>
        <w:autoSpaceDE/>
        <w:autoSpaceDN/>
        <w:bidi w:val="0"/>
        <w:adjustRightInd/>
        <w:snapToGrid/>
        <w:spacing w:line="400" w:lineRule="exact"/>
        <w:ind w:left="0" w:firstLine="0"/>
        <w:textAlignment w:val="auto"/>
        <w:rPr>
          <w:rFonts w:hint="eastAsia" w:ascii="仿宋" w:hAnsi="仿宋" w:eastAsia="仿宋"/>
          <w:b/>
          <w:bCs/>
          <w:sz w:val="24"/>
          <w:szCs w:val="24"/>
          <w:u w:val="single"/>
        </w:rPr>
      </w:pPr>
      <w:bookmarkStart w:id="16" w:name="_Toc145343939"/>
      <w:bookmarkStart w:id="17" w:name="_Toc145350960"/>
      <w:r>
        <w:rPr>
          <w:rFonts w:hint="eastAsia" w:ascii="仿宋" w:hAnsi="仿宋" w:eastAsia="仿宋"/>
          <w:b/>
          <w:bCs/>
          <w:sz w:val="24"/>
          <w:szCs w:val="24"/>
        </w:rPr>
        <w:t>法定代表人：</w:t>
      </w:r>
      <w:bookmarkEnd w:id="16"/>
      <w:bookmarkEnd w:id="17"/>
      <w:r>
        <w:rPr>
          <w:rFonts w:hint="eastAsia" w:ascii="仿宋" w:hAnsi="仿宋" w:eastAsia="仿宋"/>
          <w:b/>
          <w:bCs/>
          <w:sz w:val="24"/>
          <w:szCs w:val="24"/>
          <w:u w:val="single"/>
        </w:rPr>
        <w:t xml:space="preserve">         </w:t>
      </w:r>
    </w:p>
    <w:p>
      <w:pPr>
        <w:spacing w:line="480" w:lineRule="exact"/>
        <w:ind w:firstLine="480" w:firstLineChars="200"/>
        <w:rPr>
          <w:rFonts w:hint="eastAsia" w:ascii="仿宋" w:hAnsi="仿宋" w:eastAsia="仿宋"/>
          <w:sz w:val="24"/>
          <w:szCs w:val="24"/>
        </w:rPr>
      </w:pPr>
      <w:r>
        <w:rPr>
          <w:rFonts w:hint="eastAsia" w:ascii="仿宋" w:hAnsi="仿宋" w:eastAsia="仿宋"/>
          <w:sz w:val="24"/>
          <w:szCs w:val="24"/>
        </w:rPr>
        <w:t>根据《中华人民共和国民法典》及相关法律法规，为明确甲方与乙方的权利义务，经双方协商一致，甲方就</w:t>
      </w:r>
      <w:r>
        <w:rPr>
          <w:rFonts w:hint="eastAsia" w:ascii="仿宋" w:hAnsi="仿宋" w:eastAsia="仿宋"/>
          <w:sz w:val="24"/>
          <w:szCs w:val="24"/>
          <w:u w:val="single"/>
          <w:lang w:eastAsia="zh-CN"/>
        </w:rPr>
        <w:t>海南洋浦陆海国际贸易有限公司</w:t>
      </w:r>
      <w:r>
        <w:rPr>
          <w:rFonts w:hint="eastAsia" w:ascii="仿宋" w:hAnsi="仿宋" w:eastAsia="仿宋"/>
          <w:sz w:val="24"/>
          <w:szCs w:val="24"/>
        </w:rPr>
        <w:t>向乙方采购</w:t>
      </w:r>
      <w:r>
        <w:rPr>
          <w:rFonts w:hint="eastAsia" w:ascii="仿宋" w:hAnsi="仿宋" w:eastAsia="仿宋" w:cs="Times New Roman"/>
          <w:sz w:val="24"/>
          <w:szCs w:val="24"/>
          <w:u w:val="single"/>
          <w:lang w:val="en-US" w:eastAsia="zh-CN"/>
        </w:rPr>
        <w:t>ALC轻质隔墙板</w:t>
      </w:r>
      <w:r>
        <w:rPr>
          <w:rFonts w:hint="eastAsia" w:ascii="仿宋" w:hAnsi="仿宋" w:eastAsia="仿宋"/>
          <w:sz w:val="24"/>
          <w:szCs w:val="24"/>
        </w:rPr>
        <w:t>事宜，签订本合同，双方共同遵守。</w:t>
      </w:r>
    </w:p>
    <w:p>
      <w:pPr>
        <w:widowControl w:val="0"/>
        <w:numPr>
          <w:ilvl w:val="0"/>
          <w:numId w:val="2"/>
        </w:numPr>
        <w:spacing w:after="0" w:line="480" w:lineRule="exact"/>
        <w:jc w:val="both"/>
        <w:rPr>
          <w:rFonts w:hint="eastAsia" w:ascii="仿宋" w:hAnsi="仿宋" w:eastAsia="仿宋"/>
          <w:color w:val="auto"/>
          <w:sz w:val="24"/>
          <w:szCs w:val="24"/>
        </w:rPr>
      </w:pPr>
      <w:r>
        <w:rPr>
          <w:rFonts w:hint="eastAsia" w:ascii="仿宋" w:hAnsi="仿宋" w:eastAsia="仿宋"/>
          <w:b/>
          <w:bCs/>
          <w:sz w:val="24"/>
          <w:szCs w:val="24"/>
        </w:rPr>
        <w:t>货物及数量</w:t>
      </w:r>
    </w:p>
    <w:p>
      <w:pPr>
        <w:widowControl w:val="0"/>
        <w:numPr>
          <w:ilvl w:val="1"/>
          <w:numId w:val="2"/>
        </w:numPr>
        <w:spacing w:after="0" w:line="480" w:lineRule="exact"/>
        <w:ind w:left="0" w:firstLine="0"/>
        <w:jc w:val="both"/>
        <w:rPr>
          <w:rFonts w:hint="eastAsia" w:ascii="仿宋" w:hAnsi="仿宋" w:eastAsia="仿宋"/>
          <w:sz w:val="24"/>
          <w:szCs w:val="24"/>
        </w:rPr>
      </w:pPr>
      <w:r>
        <w:rPr>
          <w:rFonts w:hint="eastAsia" w:ascii="仿宋" w:hAnsi="仿宋" w:eastAsia="仿宋"/>
          <w:sz w:val="24"/>
          <w:szCs w:val="24"/>
        </w:rPr>
        <w:t xml:space="preserve"> 货物的名称、数量、规格、生产厂家等详见下表。</w:t>
      </w:r>
    </w:p>
    <w:tbl>
      <w:tblPr>
        <w:tblStyle w:val="20"/>
        <w:tblW w:w="9313" w:type="dxa"/>
        <w:tblInd w:w="93" w:type="dxa"/>
        <w:tblLayout w:type="fixed"/>
        <w:tblCellMar>
          <w:top w:w="0" w:type="dxa"/>
          <w:left w:w="108" w:type="dxa"/>
          <w:bottom w:w="0" w:type="dxa"/>
          <w:right w:w="108" w:type="dxa"/>
        </w:tblCellMar>
      </w:tblPr>
      <w:tblGrid>
        <w:gridCol w:w="495"/>
        <w:gridCol w:w="1306"/>
        <w:gridCol w:w="1234"/>
        <w:gridCol w:w="615"/>
        <w:gridCol w:w="951"/>
        <w:gridCol w:w="942"/>
        <w:gridCol w:w="942"/>
        <w:gridCol w:w="942"/>
        <w:gridCol w:w="942"/>
        <w:gridCol w:w="944"/>
      </w:tblGrid>
      <w:tr>
        <w:tblPrEx>
          <w:tblCellMar>
            <w:top w:w="0" w:type="dxa"/>
            <w:left w:w="108" w:type="dxa"/>
            <w:bottom w:w="0" w:type="dxa"/>
            <w:right w:w="108" w:type="dxa"/>
          </w:tblCellMar>
        </w:tblPrEx>
        <w:trPr>
          <w:trHeight w:val="625" w:hRule="atLeast"/>
        </w:trPr>
        <w:tc>
          <w:tcPr>
            <w:tcW w:w="495" w:type="dxa"/>
            <w:tcBorders>
              <w:top w:val="single" w:color="000000" w:sz="4" w:space="0"/>
              <w:left w:val="single" w:color="000000" w:sz="4" w:space="0"/>
              <w:bottom w:val="nil"/>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序号</w:t>
            </w:r>
          </w:p>
        </w:tc>
        <w:tc>
          <w:tcPr>
            <w:tcW w:w="1306" w:type="dxa"/>
            <w:tcBorders>
              <w:top w:val="single" w:color="000000" w:sz="4" w:space="0"/>
              <w:left w:val="nil"/>
              <w:bottom w:val="nil"/>
              <w:right w:val="single" w:color="auto"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名称</w:t>
            </w:r>
          </w:p>
        </w:tc>
        <w:tc>
          <w:tcPr>
            <w:tcW w:w="1234" w:type="dxa"/>
            <w:tcBorders>
              <w:top w:val="single" w:color="000000" w:sz="4" w:space="0"/>
              <w:left w:val="nil"/>
              <w:bottom w:val="nil"/>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规格型号</w:t>
            </w:r>
          </w:p>
        </w:tc>
        <w:tc>
          <w:tcPr>
            <w:tcW w:w="615" w:type="dxa"/>
            <w:tcBorders>
              <w:top w:val="single" w:color="000000" w:sz="4" w:space="0"/>
              <w:left w:val="nil"/>
              <w:bottom w:val="nil"/>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单位</w:t>
            </w:r>
          </w:p>
        </w:tc>
        <w:tc>
          <w:tcPr>
            <w:tcW w:w="951" w:type="dxa"/>
            <w:tcBorders>
              <w:top w:val="single" w:color="000000" w:sz="4" w:space="0"/>
              <w:left w:val="nil"/>
              <w:bottom w:val="nil"/>
              <w:right w:val="single" w:color="000000" w:sz="4" w:space="0"/>
            </w:tcBorders>
            <w:noWrap w:val="0"/>
            <w:vAlign w:val="center"/>
          </w:tcPr>
          <w:p>
            <w:pPr>
              <w:textAlignment w:val="center"/>
              <w:rPr>
                <w:rFonts w:hint="eastAsia" w:ascii="仿宋" w:hAnsi="仿宋" w:eastAsia="仿宋" w:cs="仿宋"/>
                <w:sz w:val="21"/>
                <w:szCs w:val="21"/>
              </w:rPr>
            </w:pPr>
            <w:r>
              <w:rPr>
                <w:rFonts w:hint="eastAsia" w:ascii="仿宋" w:hAnsi="仿宋" w:eastAsia="仿宋" w:cs="仿宋"/>
                <w:kern w:val="0"/>
              </w:rPr>
              <w:t>暂定数量</w:t>
            </w:r>
          </w:p>
        </w:tc>
        <w:tc>
          <w:tcPr>
            <w:tcW w:w="94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rPr>
              <w:t>不含税单价</w:t>
            </w:r>
          </w:p>
        </w:tc>
        <w:tc>
          <w:tcPr>
            <w:tcW w:w="94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rPr>
              <w:t>不含税合价</w:t>
            </w:r>
          </w:p>
        </w:tc>
        <w:tc>
          <w:tcPr>
            <w:tcW w:w="94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rPr>
              <w:t>含税</w:t>
            </w:r>
          </w:p>
          <w:p>
            <w:pPr>
              <w:jc w:val="center"/>
              <w:textAlignment w:val="center"/>
              <w:rPr>
                <w:rFonts w:hint="eastAsia" w:ascii="仿宋" w:hAnsi="仿宋" w:eastAsia="仿宋" w:cs="仿宋"/>
                <w:sz w:val="21"/>
                <w:szCs w:val="21"/>
              </w:rPr>
            </w:pPr>
            <w:r>
              <w:rPr>
                <w:rFonts w:hint="eastAsia" w:ascii="仿宋" w:hAnsi="仿宋" w:eastAsia="仿宋" w:cs="仿宋"/>
                <w:kern w:val="0"/>
              </w:rPr>
              <w:t xml:space="preserve">单价 </w:t>
            </w:r>
          </w:p>
        </w:tc>
        <w:tc>
          <w:tcPr>
            <w:tcW w:w="942" w:type="dxa"/>
            <w:tcBorders>
              <w:top w:val="single" w:color="000000" w:sz="4" w:space="0"/>
              <w:left w:val="nil"/>
              <w:bottom w:val="single" w:color="auto"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rPr>
              <w:t>含税</w:t>
            </w:r>
          </w:p>
          <w:p>
            <w:pPr>
              <w:jc w:val="center"/>
              <w:textAlignment w:val="center"/>
              <w:rPr>
                <w:rFonts w:hint="eastAsia" w:ascii="仿宋" w:hAnsi="仿宋" w:eastAsia="仿宋" w:cs="仿宋"/>
                <w:sz w:val="21"/>
                <w:szCs w:val="21"/>
              </w:rPr>
            </w:pPr>
            <w:r>
              <w:rPr>
                <w:rFonts w:hint="eastAsia" w:ascii="仿宋" w:hAnsi="仿宋" w:eastAsia="仿宋" w:cs="仿宋"/>
                <w:kern w:val="0"/>
              </w:rPr>
              <w:t>合价</w:t>
            </w:r>
          </w:p>
        </w:tc>
        <w:tc>
          <w:tcPr>
            <w:tcW w:w="944" w:type="dxa"/>
            <w:tcBorders>
              <w:top w:val="single" w:color="000000" w:sz="4" w:space="0"/>
              <w:left w:val="nil"/>
              <w:bottom w:val="single" w:color="auto" w:sz="4" w:space="0"/>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备注</w:t>
            </w:r>
          </w:p>
        </w:tc>
      </w:tr>
      <w:tr>
        <w:tblPrEx>
          <w:tblCellMar>
            <w:top w:w="0" w:type="dxa"/>
            <w:left w:w="108" w:type="dxa"/>
            <w:bottom w:w="0" w:type="dxa"/>
            <w:right w:w="108" w:type="dxa"/>
          </w:tblCellMar>
        </w:tblPrEx>
        <w:trPr>
          <w:trHeight w:val="60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306" w:type="dxa"/>
            <w:tcBorders>
              <w:top w:val="single" w:color="000000" w:sz="4" w:space="0"/>
              <w:left w:val="nil"/>
              <w:bottom w:val="single" w:color="000000" w:sz="4" w:space="0"/>
              <w:right w:val="single" w:color="auto" w:sz="4" w:space="0"/>
            </w:tcBorders>
            <w:noWrap w:val="0"/>
            <w:vAlign w:val="center"/>
          </w:tcPr>
          <w:p>
            <w:pPr>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ALC轻质隔墙板</w:t>
            </w:r>
          </w:p>
        </w:tc>
        <w:tc>
          <w:tcPr>
            <w:tcW w:w="123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snapToGrid w:val="0"/>
                <w:color w:val="000000"/>
                <w:kern w:val="0"/>
                <w:sz w:val="21"/>
                <w:szCs w:val="21"/>
                <w:highlight w:val="none"/>
                <w:lang w:val="en-US" w:eastAsia="zh-CN" w:bidi="ar-SA"/>
              </w:rPr>
              <w:t>δ100</w:t>
            </w:r>
          </w:p>
        </w:tc>
        <w:tc>
          <w:tcPr>
            <w:tcW w:w="615" w:type="dxa"/>
            <w:tcBorders>
              <w:top w:val="single" w:color="000000" w:sz="4" w:space="0"/>
              <w:left w:val="nil"/>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snapToGrid w:val="0"/>
                <w:color w:val="000000"/>
                <w:kern w:val="0"/>
                <w:sz w:val="21"/>
                <w:szCs w:val="21"/>
                <w:highlight w:val="none"/>
                <w:lang w:val="en-US" w:eastAsia="zh-CN" w:bidi="ar-SA"/>
              </w:rPr>
              <w:t>㎡</w:t>
            </w:r>
          </w:p>
        </w:tc>
        <w:tc>
          <w:tcPr>
            <w:tcW w:w="951" w:type="dxa"/>
            <w:tcBorders>
              <w:top w:val="single" w:color="000000" w:sz="4" w:space="0"/>
              <w:left w:val="nil"/>
              <w:bottom w:val="single" w:color="000000" w:sz="4" w:space="0"/>
              <w:right w:val="single" w:color="000000" w:sz="4" w:space="0"/>
            </w:tcBorders>
            <w:noWrap/>
            <w:vAlign w:val="center"/>
          </w:tcPr>
          <w:p>
            <w:pPr>
              <w:widowControl/>
              <w:adjustRightInd w:val="0"/>
              <w:snapToGrid w:val="0"/>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snapToGrid w:val="0"/>
                <w:color w:val="000000"/>
                <w:kern w:val="0"/>
                <w:sz w:val="21"/>
                <w:szCs w:val="21"/>
                <w:highlight w:val="none"/>
                <w:lang w:val="en-US" w:eastAsia="zh-CN" w:bidi="ar-SA"/>
              </w:rPr>
              <w:t>5500</w:t>
            </w: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auto"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1"/>
                <w:szCs w:val="21"/>
              </w:rPr>
            </w:pPr>
          </w:p>
        </w:tc>
        <w:tc>
          <w:tcPr>
            <w:tcW w:w="944"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 w:hAnsi="仿宋" w:eastAsia="仿宋" w:cs="仿宋"/>
                <w:sz w:val="21"/>
                <w:szCs w:val="21"/>
                <w:lang w:val="en-US" w:eastAsia="zh-CN"/>
              </w:rPr>
            </w:pPr>
          </w:p>
        </w:tc>
      </w:tr>
      <w:tr>
        <w:tblPrEx>
          <w:tblCellMar>
            <w:top w:w="0" w:type="dxa"/>
            <w:left w:w="108" w:type="dxa"/>
            <w:bottom w:w="0" w:type="dxa"/>
            <w:right w:w="108" w:type="dxa"/>
          </w:tblCellMar>
        </w:tblPrEx>
        <w:trPr>
          <w:trHeight w:val="60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306" w:type="dxa"/>
            <w:tcBorders>
              <w:top w:val="single" w:color="000000" w:sz="4" w:space="0"/>
              <w:left w:val="nil"/>
              <w:bottom w:val="single" w:color="000000" w:sz="4" w:space="0"/>
              <w:right w:val="single" w:color="auto" w:sz="4" w:space="0"/>
            </w:tcBorders>
            <w:noWrap w:val="0"/>
            <w:vAlign w:val="center"/>
          </w:tcPr>
          <w:p>
            <w:pPr>
              <w:jc w:val="center"/>
              <w:textAlignment w:val="center"/>
              <w:rPr>
                <w:rFonts w:hint="eastAsia" w:ascii="仿宋" w:hAnsi="仿宋" w:eastAsia="仿宋" w:cs="仿宋"/>
                <w:kern w:val="0"/>
                <w:sz w:val="21"/>
                <w:szCs w:val="22"/>
                <w:lang w:val="en-US" w:eastAsia="zh-CN" w:bidi="ar-SA"/>
              </w:rPr>
            </w:pPr>
            <w:r>
              <w:rPr>
                <w:rFonts w:hint="eastAsia" w:ascii="仿宋" w:hAnsi="仿宋" w:eastAsia="仿宋" w:cs="仿宋"/>
                <w:kern w:val="0"/>
                <w:lang w:val="en-US" w:eastAsia="zh-CN"/>
              </w:rPr>
              <w:t>ALC轻质隔墙板</w:t>
            </w:r>
          </w:p>
        </w:tc>
        <w:tc>
          <w:tcPr>
            <w:tcW w:w="123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napToGrid w:val="0"/>
                <w:color w:val="000000"/>
                <w:kern w:val="0"/>
                <w:sz w:val="21"/>
                <w:szCs w:val="21"/>
                <w:highlight w:val="none"/>
                <w:lang w:val="en-US" w:eastAsia="zh-CN" w:bidi="ar-SA"/>
              </w:rPr>
              <w:t>δ200</w:t>
            </w:r>
          </w:p>
        </w:tc>
        <w:tc>
          <w:tcPr>
            <w:tcW w:w="615" w:type="dxa"/>
            <w:tcBorders>
              <w:top w:val="single" w:color="000000" w:sz="4" w:space="0"/>
              <w:left w:val="nil"/>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kern w:val="0"/>
                <w:sz w:val="21"/>
                <w:szCs w:val="21"/>
              </w:rPr>
            </w:pPr>
            <w:r>
              <w:rPr>
                <w:rFonts w:hint="eastAsia" w:ascii="仿宋" w:hAnsi="仿宋" w:eastAsia="仿宋" w:cs="仿宋"/>
                <w:snapToGrid w:val="0"/>
                <w:color w:val="000000"/>
                <w:kern w:val="0"/>
                <w:sz w:val="21"/>
                <w:szCs w:val="21"/>
                <w:highlight w:val="none"/>
                <w:lang w:val="en-US" w:eastAsia="zh-CN" w:bidi="ar-SA"/>
              </w:rPr>
              <w:t>㎡</w:t>
            </w:r>
          </w:p>
        </w:tc>
        <w:tc>
          <w:tcPr>
            <w:tcW w:w="951" w:type="dxa"/>
            <w:tcBorders>
              <w:top w:val="single" w:color="000000" w:sz="4" w:space="0"/>
              <w:left w:val="nil"/>
              <w:bottom w:val="single" w:color="000000" w:sz="4" w:space="0"/>
              <w:right w:val="single" w:color="000000" w:sz="4" w:space="0"/>
            </w:tcBorders>
            <w:noWrap/>
            <w:vAlign w:val="center"/>
          </w:tcPr>
          <w:p>
            <w:pPr>
              <w:widowControl/>
              <w:adjustRightInd w:val="0"/>
              <w:snapToGrid w:val="0"/>
              <w:spacing w:line="240" w:lineRule="auto"/>
              <w:ind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snapToGrid w:val="0"/>
                <w:color w:val="000000"/>
                <w:kern w:val="0"/>
                <w:sz w:val="21"/>
                <w:szCs w:val="21"/>
                <w:highlight w:val="none"/>
                <w:lang w:val="en-US" w:eastAsia="zh-CN" w:bidi="ar-SA"/>
              </w:rPr>
              <w:t>2500</w:t>
            </w: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auto"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1"/>
                <w:szCs w:val="21"/>
              </w:rPr>
            </w:pPr>
          </w:p>
        </w:tc>
        <w:tc>
          <w:tcPr>
            <w:tcW w:w="944"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60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306" w:type="dxa"/>
            <w:tcBorders>
              <w:top w:val="single" w:color="000000" w:sz="4" w:space="0"/>
              <w:left w:val="nil"/>
              <w:bottom w:val="single" w:color="000000" w:sz="4" w:space="0"/>
              <w:right w:val="single" w:color="auto" w:sz="4" w:space="0"/>
            </w:tcBorders>
            <w:noWrap w:val="0"/>
            <w:vAlign w:val="center"/>
          </w:tcPr>
          <w:p>
            <w:pPr>
              <w:jc w:val="center"/>
              <w:textAlignment w:val="center"/>
              <w:rPr>
                <w:rFonts w:hint="eastAsia" w:ascii="仿宋" w:hAnsi="仿宋" w:eastAsia="仿宋" w:cs="仿宋"/>
                <w:kern w:val="0"/>
                <w:sz w:val="21"/>
                <w:szCs w:val="22"/>
                <w:lang w:val="en-US" w:eastAsia="zh-CN" w:bidi="ar-SA"/>
              </w:rPr>
            </w:pPr>
            <w:r>
              <w:rPr>
                <w:rFonts w:hint="eastAsia" w:ascii="仿宋" w:hAnsi="仿宋" w:eastAsia="仿宋" w:cs="仿宋"/>
                <w:kern w:val="0"/>
                <w:lang w:val="en-US" w:eastAsia="zh-CN"/>
              </w:rPr>
              <w:t>ALC轻质隔墙板</w:t>
            </w:r>
          </w:p>
        </w:tc>
        <w:tc>
          <w:tcPr>
            <w:tcW w:w="123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napToGrid w:val="0"/>
                <w:color w:val="000000"/>
                <w:kern w:val="0"/>
                <w:sz w:val="21"/>
                <w:szCs w:val="21"/>
                <w:highlight w:val="none"/>
                <w:lang w:val="en-US" w:eastAsia="zh-CN" w:bidi="ar-SA"/>
              </w:rPr>
              <w:t>δ240</w:t>
            </w:r>
          </w:p>
        </w:tc>
        <w:tc>
          <w:tcPr>
            <w:tcW w:w="615" w:type="dxa"/>
            <w:tcBorders>
              <w:top w:val="single" w:color="000000" w:sz="4" w:space="0"/>
              <w:left w:val="nil"/>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snapToGrid w:val="0"/>
                <w:color w:val="000000"/>
                <w:kern w:val="0"/>
                <w:sz w:val="21"/>
                <w:szCs w:val="21"/>
                <w:highlight w:val="none"/>
                <w:lang w:val="en-US" w:eastAsia="zh-CN" w:bidi="ar-SA"/>
              </w:rPr>
              <w:t>㎡</w:t>
            </w:r>
          </w:p>
        </w:tc>
        <w:tc>
          <w:tcPr>
            <w:tcW w:w="951" w:type="dxa"/>
            <w:tcBorders>
              <w:top w:val="single" w:color="000000" w:sz="4" w:space="0"/>
              <w:left w:val="nil"/>
              <w:bottom w:val="single" w:color="000000" w:sz="4" w:space="0"/>
              <w:right w:val="single" w:color="000000" w:sz="4" w:space="0"/>
            </w:tcBorders>
            <w:noWrap/>
            <w:vAlign w:val="center"/>
          </w:tcPr>
          <w:p>
            <w:pPr>
              <w:widowControl/>
              <w:adjustRightInd w:val="0"/>
              <w:snapToGrid w:val="0"/>
              <w:spacing w:line="240" w:lineRule="auto"/>
              <w:ind w:firstLine="0" w:firstLineChars="0"/>
              <w:jc w:val="center"/>
              <w:textAlignment w:val="center"/>
              <w:rPr>
                <w:rFonts w:hint="default" w:ascii="仿宋" w:hAnsi="仿宋" w:eastAsia="仿宋" w:cs="仿宋"/>
                <w:snapToGrid w:val="0"/>
                <w:color w:val="000000"/>
                <w:kern w:val="0"/>
                <w:sz w:val="21"/>
                <w:szCs w:val="21"/>
                <w:highlight w:val="none"/>
                <w:lang w:val="en-US" w:eastAsia="zh-CN" w:bidi="ar-SA"/>
              </w:rPr>
            </w:pPr>
            <w:r>
              <w:rPr>
                <w:rFonts w:hint="eastAsia" w:ascii="仿宋" w:hAnsi="仿宋" w:eastAsia="仿宋" w:cs="仿宋"/>
                <w:snapToGrid w:val="0"/>
                <w:color w:val="000000"/>
                <w:kern w:val="0"/>
                <w:sz w:val="21"/>
                <w:szCs w:val="21"/>
                <w:highlight w:val="none"/>
                <w:lang w:val="en-US" w:eastAsia="zh-CN" w:bidi="ar-SA"/>
              </w:rPr>
              <w:t>200</w:t>
            </w: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2" w:type="dxa"/>
            <w:tcBorders>
              <w:top w:val="single" w:color="000000" w:sz="4" w:space="0"/>
              <w:left w:val="nil"/>
              <w:bottom w:val="single" w:color="000000" w:sz="4" w:space="0"/>
              <w:right w:val="single" w:color="auto"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仿宋" w:hAnsi="仿宋" w:eastAsia="仿宋" w:cs="仿宋"/>
                <w:sz w:val="21"/>
                <w:szCs w:val="21"/>
              </w:rPr>
            </w:pPr>
          </w:p>
        </w:tc>
        <w:tc>
          <w:tcPr>
            <w:tcW w:w="944" w:type="dxa"/>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492"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p>
        </w:tc>
        <w:tc>
          <w:tcPr>
            <w:tcW w:w="4106" w:type="dxa"/>
            <w:gridSpan w:val="4"/>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kern w:val="0"/>
              </w:rPr>
              <w:t>合计</w:t>
            </w: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942" w:type="dxa"/>
            <w:tcBorders>
              <w:top w:val="single" w:color="auto"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sz w:val="21"/>
                <w:szCs w:val="21"/>
              </w:rPr>
            </w:pPr>
          </w:p>
        </w:tc>
        <w:tc>
          <w:tcPr>
            <w:tcW w:w="944" w:type="dxa"/>
            <w:tcBorders>
              <w:top w:val="single" w:color="auto" w:sz="4" w:space="0"/>
              <w:left w:val="nil"/>
              <w:bottom w:val="single" w:color="000000" w:sz="4" w:space="0"/>
              <w:right w:val="single" w:color="000000"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492" w:hRule="atLeast"/>
        </w:trPr>
        <w:tc>
          <w:tcPr>
            <w:tcW w:w="365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kern w:val="0"/>
              </w:rPr>
              <w:t>提供增值税专用发票税率</w:t>
            </w:r>
          </w:p>
        </w:tc>
        <w:tc>
          <w:tcPr>
            <w:tcW w:w="5663" w:type="dxa"/>
            <w:gridSpan w:val="6"/>
            <w:tcBorders>
              <w:top w:val="single" w:color="000000" w:sz="4" w:space="0"/>
              <w:left w:val="nil"/>
              <w:bottom w:val="single" w:color="000000" w:sz="4" w:space="0"/>
              <w:right w:val="single" w:color="000000" w:sz="4" w:space="0"/>
            </w:tcBorders>
            <w:noWrap/>
            <w:vAlign w:val="center"/>
          </w:tcPr>
          <w:p>
            <w:pPr>
              <w:widowControl w:val="0"/>
              <w:jc w:val="center"/>
              <w:rPr>
                <w:rFonts w:hint="eastAsia" w:ascii="仿宋" w:hAnsi="仿宋" w:eastAsia="仿宋" w:cs="仿宋"/>
                <w:sz w:val="21"/>
                <w:szCs w:val="21"/>
              </w:rPr>
            </w:pPr>
            <w:r>
              <w:rPr>
                <w:rFonts w:hint="eastAsia" w:ascii="仿宋" w:hAnsi="仿宋" w:eastAsia="仿宋" w:cs="仿宋"/>
              </w:rPr>
              <w:t>13%</w:t>
            </w:r>
          </w:p>
        </w:tc>
      </w:tr>
      <w:tr>
        <w:tblPrEx>
          <w:tblCellMar>
            <w:top w:w="0" w:type="dxa"/>
            <w:left w:w="108" w:type="dxa"/>
            <w:bottom w:w="0" w:type="dxa"/>
            <w:right w:w="108" w:type="dxa"/>
          </w:tblCellMar>
        </w:tblPrEx>
        <w:trPr>
          <w:trHeight w:val="628" w:hRule="atLeast"/>
        </w:trPr>
        <w:tc>
          <w:tcPr>
            <w:tcW w:w="9313"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val="0"/>
              <w:numPr>
                <w:ilvl w:val="0"/>
                <w:numId w:val="3"/>
              </w:numPr>
              <w:rPr>
                <w:rFonts w:hint="eastAsia" w:ascii="仿宋" w:hAnsi="仿宋" w:eastAsia="仿宋" w:cs="仿宋"/>
                <w:color w:val="auto"/>
              </w:rPr>
            </w:pPr>
            <w:r>
              <w:rPr>
                <w:rFonts w:hint="eastAsia" w:ascii="仿宋" w:hAnsi="仿宋" w:eastAsia="仿宋" w:cs="仿宋"/>
                <w:color w:val="auto"/>
              </w:rPr>
              <w:t>以上综合价格已包括采购期间的采购费用、增值税税金、合理利润、包装费、各类运杂费、过江过路过桥费、装卸费等运抵至甲方指定交货点的综合费用。</w:t>
            </w:r>
          </w:p>
        </w:tc>
      </w:tr>
    </w:tbl>
    <w:p>
      <w:pPr>
        <w:numPr>
          <w:ilvl w:val="1"/>
          <w:numId w:val="2"/>
        </w:numPr>
        <w:spacing w:line="560" w:lineRule="exact"/>
        <w:ind w:left="0" w:firstLine="0"/>
        <w:rPr>
          <w:rFonts w:hint="eastAsia" w:ascii="仿宋" w:hAnsi="仿宋" w:eastAsia="仿宋"/>
          <w:sz w:val="24"/>
          <w:szCs w:val="24"/>
        </w:rPr>
      </w:pPr>
      <w:r>
        <w:rPr>
          <w:rFonts w:hint="eastAsia" w:ascii="仿宋" w:hAnsi="仿宋" w:eastAsia="仿宋"/>
          <w:sz w:val="24"/>
          <w:szCs w:val="24"/>
        </w:rPr>
        <w:t>以上数量为暂估数量，暂定总价款（含税）为：</w:t>
      </w:r>
      <w:r>
        <w:rPr>
          <w:rFonts w:hint="eastAsia" w:ascii="仿宋" w:hAnsi="仿宋" w:eastAsia="仿宋"/>
          <w:sz w:val="24"/>
          <w:szCs w:val="24"/>
          <w:u w:val="single"/>
        </w:rPr>
        <w:t xml:space="preserve">  </w:t>
      </w:r>
      <w:r>
        <w:rPr>
          <w:rFonts w:hint="eastAsia" w:ascii="仿宋" w:hAnsi="仿宋" w:eastAsia="仿宋"/>
          <w:sz w:val="24"/>
          <w:szCs w:val="24"/>
        </w:rPr>
        <w:t>元，金额大写：</w:t>
      </w:r>
      <w:r>
        <w:rPr>
          <w:rFonts w:hint="eastAsia" w:ascii="仿宋" w:hAnsi="仿宋" w:eastAsia="仿宋"/>
          <w:sz w:val="24"/>
          <w:szCs w:val="24"/>
          <w:u w:val="single"/>
        </w:rPr>
        <w:t xml:space="preserve">    </w:t>
      </w:r>
      <w:r>
        <w:rPr>
          <w:rFonts w:hint="eastAsia" w:ascii="仿宋" w:hAnsi="仿宋" w:eastAsia="仿宋"/>
          <w:sz w:val="24"/>
          <w:szCs w:val="24"/>
        </w:rPr>
        <w:t>；其中，不含税价款为：</w:t>
      </w:r>
      <w:r>
        <w:rPr>
          <w:rFonts w:hint="eastAsia" w:ascii="仿宋" w:hAnsi="仿宋" w:eastAsia="仿宋"/>
          <w:sz w:val="24"/>
          <w:szCs w:val="24"/>
          <w:u w:val="single"/>
        </w:rPr>
        <w:t xml:space="preserve">  </w:t>
      </w:r>
      <w:r>
        <w:rPr>
          <w:rFonts w:hint="eastAsia" w:ascii="仿宋" w:hAnsi="仿宋" w:eastAsia="仿宋"/>
          <w:sz w:val="24"/>
          <w:szCs w:val="24"/>
        </w:rPr>
        <w:t xml:space="preserve">元，税金为： </w:t>
      </w:r>
      <w:r>
        <w:rPr>
          <w:rFonts w:hint="eastAsia" w:ascii="仿宋" w:hAnsi="仿宋" w:eastAsia="仿宋"/>
          <w:sz w:val="24"/>
          <w:szCs w:val="24"/>
          <w:u w:val="single"/>
        </w:rPr>
        <w:t xml:space="preserve">  </w:t>
      </w:r>
      <w:r>
        <w:rPr>
          <w:rFonts w:hint="eastAsia" w:ascii="仿宋" w:hAnsi="仿宋" w:eastAsia="仿宋"/>
          <w:sz w:val="24"/>
          <w:szCs w:val="24"/>
        </w:rPr>
        <w:t>元，税率为：13%。供货数量、时间和地点以甲方书面计划为准，结算数量为甲方实收合格数量，甲方有权对合同中的数量和交货时间做调整，乙方不得有异议，当乙方供货量达不到以上暂估数量时，乙方不得以供货数量不足作为索赔的理由。</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合同结算单价、合同暂估总金额以及最终结算总价都已包括货物价款、供应商出售该物资应缴纳税金及一切税费、包装费、保险费、运输费、</w:t>
      </w:r>
      <w:r>
        <w:rPr>
          <w:rFonts w:hint="eastAsia" w:ascii="仿宋" w:hAnsi="仿宋" w:eastAsia="仿宋" w:cs="仿宋"/>
          <w:color w:val="000000"/>
          <w:sz w:val="24"/>
          <w:szCs w:val="24"/>
          <w:highlight w:val="none"/>
          <w:lang w:val="en-US" w:eastAsia="zh-CN"/>
        </w:rPr>
        <w:t>装卸车</w:t>
      </w:r>
      <w:r>
        <w:rPr>
          <w:rFonts w:hint="eastAsia" w:ascii="仿宋" w:hAnsi="仿宋" w:eastAsia="仿宋" w:cs="仿宋"/>
          <w:color w:val="000000"/>
          <w:sz w:val="24"/>
          <w:szCs w:val="24"/>
          <w:highlight w:val="none"/>
        </w:rPr>
        <w:t>费</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以及其他运抵至甲方指定交货地点的一切费用；包括售后服务以及市场价格涨幅等的各类风险费用；以及其他所有相关服务费用。</w:t>
      </w:r>
    </w:p>
    <w:p>
      <w:pPr>
        <w:pStyle w:val="7"/>
        <w:keepNext/>
        <w:keepLines/>
        <w:pageBreakBefore w:val="0"/>
        <w:widowControl/>
        <w:numPr>
          <w:ilvl w:val="1"/>
          <w:numId w:val="2"/>
        </w:numPr>
        <w:tabs>
          <w:tab w:val="left" w:pos="992"/>
        </w:tabs>
        <w:kinsoku/>
        <w:wordWrap/>
        <w:overflowPunct/>
        <w:topLinePunct w:val="0"/>
        <w:autoSpaceDE/>
        <w:autoSpaceDN/>
        <w:bidi w:val="0"/>
        <w:adjustRightInd/>
        <w:snapToGrid/>
        <w:spacing w:before="0" w:after="0" w:line="560" w:lineRule="exact"/>
        <w:ind w:left="0" w:leftChars="0" w:firstLine="0" w:firstLineChars="0"/>
        <w:textAlignment w:val="auto"/>
        <w:rPr>
          <w:rFonts w:hint="eastAsia" w:ascii="仿宋" w:hAnsi="仿宋" w:eastAsia="仿宋"/>
          <w:sz w:val="24"/>
          <w:szCs w:val="24"/>
        </w:rPr>
      </w:pPr>
      <w:r>
        <w:rPr>
          <w:rFonts w:hint="eastAsia" w:ascii="仿宋" w:hAnsi="仿宋" w:eastAsia="仿宋" w:cs="仿宋"/>
          <w:color w:val="000000"/>
          <w:sz w:val="24"/>
          <w:szCs w:val="24"/>
          <w:highlight w:val="none"/>
          <w:lang w:val="en-US" w:eastAsia="zh-CN"/>
        </w:rPr>
        <w:t>甲方收取本合同含税总价款3%，即</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元（大写：</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）作为合同履约保证金，成交通知书发出之后7个日历天内，</w:t>
      </w:r>
      <w:r>
        <w:rPr>
          <w:rFonts w:hint="eastAsia" w:ascii="仿宋" w:hAnsi="仿宋" w:eastAsia="仿宋" w:cs="仿宋"/>
          <w:b w:val="0"/>
          <w:bCs w:val="0"/>
          <w:color w:val="auto"/>
          <w:kern w:val="0"/>
          <w:sz w:val="24"/>
          <w:szCs w:val="22"/>
          <w:highlight w:val="none"/>
          <w:lang w:eastAsia="zh-CN"/>
        </w:rPr>
        <w:t>乙方可采用以下两种形式缴纳履约保证金1.银行转账形式缴纳</w:t>
      </w:r>
      <w:r>
        <w:rPr>
          <w:rFonts w:hint="eastAsia" w:eastAsia="仿宋" w:cs="仿宋"/>
          <w:b w:val="0"/>
          <w:bCs w:val="0"/>
          <w:color w:val="auto"/>
          <w:kern w:val="0"/>
          <w:sz w:val="24"/>
          <w:szCs w:val="22"/>
          <w:highlight w:val="none"/>
          <w:lang w:eastAsia="zh-CN"/>
        </w:rPr>
        <w:t>；</w:t>
      </w:r>
      <w:r>
        <w:rPr>
          <w:rFonts w:hint="eastAsia" w:ascii="仿宋" w:hAnsi="仿宋" w:eastAsia="仿宋" w:cs="仿宋"/>
          <w:b w:val="0"/>
          <w:bCs w:val="0"/>
          <w:color w:val="auto"/>
          <w:kern w:val="0"/>
          <w:sz w:val="24"/>
          <w:szCs w:val="22"/>
          <w:highlight w:val="none"/>
          <w:lang w:eastAsia="zh-CN"/>
        </w:rPr>
        <w:t>2.银行履约保函的形式缴纳。若采用银行保函，则须满足以下条件：则该保函性质为见索即付，有效期间需覆盖至项目竣工验收完毕，争议解决地为受益人所在地，可在开具银行的官网或授权的app及微信客户端可在线查验。</w:t>
      </w:r>
      <w:r>
        <w:rPr>
          <w:rFonts w:hint="eastAsia" w:ascii="仿宋" w:hAnsi="仿宋" w:eastAsia="仿宋" w:cs="仿宋"/>
          <w:b w:val="0"/>
          <w:bCs w:val="0"/>
          <w:color w:val="auto"/>
          <w:kern w:val="0"/>
          <w:sz w:val="24"/>
          <w:szCs w:val="22"/>
          <w:highlight w:val="none"/>
          <w:lang w:val="en-US" w:eastAsia="zh-CN"/>
        </w:rPr>
        <w:t>以此</w:t>
      </w:r>
      <w:r>
        <w:rPr>
          <w:rFonts w:hint="eastAsia" w:ascii="仿宋" w:hAnsi="仿宋" w:eastAsia="仿宋" w:cs="仿宋"/>
          <w:b w:val="0"/>
          <w:bCs w:val="0"/>
          <w:color w:val="auto"/>
          <w:kern w:val="0"/>
          <w:sz w:val="24"/>
          <w:szCs w:val="22"/>
          <w:highlight w:val="none"/>
        </w:rPr>
        <w:t>作为乙方诚信、全面、正确履行全部合同义务的保证，如发生违约扣款情况，甲方就收取的履约保证金在乙方供货完毕且办理完总结算签字确认后30个工作日内，扣除违约金无息返还；如有其他情况，双方协商确定返还时间。</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firstLine="0"/>
        <w:jc w:val="both"/>
        <w:textAlignment w:val="auto"/>
        <w:rPr>
          <w:rFonts w:hint="eastAsia" w:ascii="仿宋" w:hAnsi="仿宋" w:eastAsia="仿宋"/>
          <w:b/>
          <w:bCs/>
          <w:sz w:val="24"/>
          <w:szCs w:val="24"/>
        </w:rPr>
      </w:pPr>
      <w:r>
        <w:rPr>
          <w:rFonts w:hint="eastAsia" w:ascii="仿宋" w:hAnsi="仿宋" w:eastAsia="仿宋"/>
          <w:b/>
          <w:bCs/>
          <w:sz w:val="24"/>
          <w:szCs w:val="24"/>
        </w:rPr>
        <w:t>技术质量要求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Times New Roman"/>
          <w:sz w:val="24"/>
          <w:szCs w:val="24"/>
          <w:lang w:val="en-US" w:eastAsia="zh-CN"/>
        </w:rPr>
      </w:pPr>
      <w:r>
        <w:rPr>
          <w:rFonts w:hint="eastAsia" w:ascii="仿宋" w:hAnsi="仿宋" w:eastAsia="仿宋"/>
          <w:sz w:val="24"/>
          <w:szCs w:val="24"/>
          <w:lang w:val="en-US" w:eastAsia="zh-CN"/>
        </w:rPr>
        <w:t xml:space="preserve">2.1  </w:t>
      </w:r>
      <w:r>
        <w:rPr>
          <w:rFonts w:hint="eastAsia" w:ascii="仿宋" w:hAnsi="仿宋" w:eastAsia="仿宋"/>
          <w:sz w:val="24"/>
          <w:szCs w:val="24"/>
        </w:rPr>
        <w:t>相关标准规范：</w:t>
      </w:r>
      <w:r>
        <w:rPr>
          <w:rFonts w:hint="eastAsia" w:ascii="仿宋" w:hAnsi="仿宋" w:eastAsia="仿宋" w:cs="Times New Roman"/>
          <w:sz w:val="24"/>
          <w:szCs w:val="24"/>
          <w:lang w:val="en-US" w:eastAsia="zh-CN"/>
        </w:rPr>
        <w:t>检测符合</w:t>
      </w:r>
      <w:r>
        <w:rPr>
          <w:rFonts w:hint="eastAsia" w:ascii="仿宋" w:hAnsi="仿宋" w:eastAsia="仿宋" w:cs="Times New Roman"/>
          <w:sz w:val="24"/>
          <w:szCs w:val="24"/>
        </w:rPr>
        <w:t>《蒸压加气混凝土板</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GB/T15762-2020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检测符合</w:t>
      </w:r>
      <w:r>
        <w:rPr>
          <w:rFonts w:hint="eastAsia" w:ascii="仿宋" w:hAnsi="仿宋" w:eastAsia="仿宋" w:cs="Times New Roman"/>
          <w:sz w:val="24"/>
          <w:szCs w:val="24"/>
        </w:rPr>
        <w:t>蒸压加气混凝土</w:t>
      </w:r>
      <w:r>
        <w:rPr>
          <w:rFonts w:hint="eastAsia" w:ascii="仿宋" w:hAnsi="仿宋" w:eastAsia="仿宋" w:cs="Times New Roman"/>
          <w:sz w:val="24"/>
          <w:szCs w:val="24"/>
          <w:lang w:val="en-US" w:eastAsia="zh-CN"/>
        </w:rPr>
        <w:t>GB/T11969-2020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检测符合</w:t>
      </w:r>
      <w:r>
        <w:rPr>
          <w:rFonts w:hint="eastAsia" w:ascii="仿宋" w:hAnsi="仿宋" w:eastAsia="仿宋" w:cs="Times New Roman"/>
          <w:sz w:val="24"/>
          <w:szCs w:val="24"/>
        </w:rPr>
        <w:t>绝热材料稳态热阻及有关特性的测定-防护热板法</w:t>
      </w:r>
      <w:r>
        <w:rPr>
          <w:rFonts w:hint="eastAsia" w:ascii="仿宋" w:hAnsi="仿宋" w:eastAsia="仿宋" w:cs="Times New Roman"/>
          <w:sz w:val="24"/>
          <w:szCs w:val="24"/>
          <w:lang w:val="en-US" w:eastAsia="zh-CN"/>
        </w:rPr>
        <w:t>GB/T10294-2008</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both"/>
        <w:textAlignment w:val="auto"/>
        <w:rPr>
          <w:rFonts w:hint="eastAsia" w:ascii="仿宋" w:hAnsi="仿宋" w:eastAsia="仿宋"/>
          <w:sz w:val="24"/>
          <w:szCs w:val="24"/>
        </w:rPr>
      </w:pPr>
      <w:r>
        <w:rPr>
          <w:rFonts w:hint="eastAsia" w:ascii="仿宋" w:hAnsi="仿宋" w:eastAsia="仿宋"/>
          <w:sz w:val="24"/>
          <w:szCs w:val="24"/>
          <w:lang w:val="en-US" w:eastAsia="zh-CN"/>
        </w:rPr>
        <w:t>2.2</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质量基本条件：质量等级及相关质量参数需具备检测资质的第三方机构检测报告。</w:t>
      </w:r>
    </w:p>
    <w:p>
      <w:pPr>
        <w:widowControl w:val="0"/>
        <w:numPr>
          <w:ilvl w:val="0"/>
          <w:numId w:val="0"/>
        </w:numPr>
        <w:autoSpaceDE w:val="0"/>
        <w:spacing w:after="0" w:line="560" w:lineRule="exact"/>
        <w:ind w:leftChars="0"/>
        <w:jc w:val="both"/>
        <w:rPr>
          <w:rFonts w:hint="eastAsia" w:ascii="仿宋" w:hAnsi="仿宋" w:eastAsia="仿宋"/>
          <w:sz w:val="24"/>
          <w:szCs w:val="24"/>
        </w:rPr>
      </w:pPr>
      <w:r>
        <w:rPr>
          <w:rFonts w:hint="eastAsia" w:ascii="仿宋" w:hAnsi="仿宋" w:eastAsia="仿宋"/>
          <w:sz w:val="24"/>
          <w:szCs w:val="24"/>
          <w:lang w:val="en-US" w:eastAsia="zh-CN"/>
        </w:rPr>
        <w:t>2.3</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材质证明书：根据甲方要求提供相关证明资料，不限于产品说明书。</w:t>
      </w:r>
    </w:p>
    <w:p>
      <w:pPr>
        <w:widowControl w:val="0"/>
        <w:numPr>
          <w:ilvl w:val="0"/>
          <w:numId w:val="0"/>
        </w:numPr>
        <w:autoSpaceDE w:val="0"/>
        <w:spacing w:after="0" w:line="560" w:lineRule="exact"/>
        <w:ind w:leftChars="0"/>
        <w:jc w:val="both"/>
        <w:rPr>
          <w:rFonts w:hint="eastAsia" w:ascii="仿宋" w:hAnsi="仿宋" w:eastAsia="仿宋"/>
          <w:sz w:val="24"/>
          <w:szCs w:val="24"/>
        </w:rPr>
      </w:pPr>
      <w:r>
        <w:rPr>
          <w:rFonts w:hint="eastAsia" w:ascii="仿宋" w:hAnsi="仿宋" w:eastAsia="仿宋"/>
          <w:sz w:val="24"/>
          <w:szCs w:val="24"/>
          <w:lang w:val="en-US" w:eastAsia="zh-CN"/>
        </w:rPr>
        <w:t>2.4</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服务质量：产品质量应严格符合工程项目的设计、</w:t>
      </w:r>
      <w:r>
        <w:rPr>
          <w:rFonts w:hint="eastAsia" w:ascii="仿宋" w:hAnsi="仿宋" w:eastAsia="仿宋"/>
          <w:sz w:val="24"/>
          <w:szCs w:val="24"/>
          <w:lang w:val="en-US" w:eastAsia="zh-CN"/>
        </w:rPr>
        <w:t>询价</w:t>
      </w:r>
      <w:r>
        <w:rPr>
          <w:rFonts w:hint="eastAsia" w:ascii="仿宋" w:hAnsi="仿宋" w:eastAsia="仿宋"/>
          <w:sz w:val="24"/>
          <w:szCs w:val="24"/>
        </w:rPr>
        <w:t>文件及有关工程施工及验收规范的要求，同时产品质量及服务必须满足甲方为保证工程质量而对质量、服务等方面提出的各种进一步要求。</w:t>
      </w:r>
    </w:p>
    <w:p>
      <w:pPr>
        <w:widowControl w:val="0"/>
        <w:numPr>
          <w:ilvl w:val="0"/>
          <w:numId w:val="0"/>
        </w:numPr>
        <w:autoSpaceDE w:val="0"/>
        <w:spacing w:after="0" w:line="560" w:lineRule="exact"/>
        <w:ind w:leftChars="0"/>
        <w:jc w:val="both"/>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 xml:space="preserve">2.5  </w:t>
      </w:r>
      <w:r>
        <w:rPr>
          <w:rFonts w:hint="eastAsia" w:ascii="仿宋" w:hAnsi="仿宋" w:eastAsia="仿宋"/>
          <w:sz w:val="24"/>
          <w:szCs w:val="24"/>
          <w:highlight w:val="none"/>
        </w:rPr>
        <w:t>质量保证期</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2年</w:t>
      </w:r>
      <w:r>
        <w:rPr>
          <w:rFonts w:hint="eastAsia" w:ascii="仿宋" w:hAnsi="仿宋" w:eastAsia="仿宋" w:cs="Times New Roman"/>
          <w:sz w:val="24"/>
          <w:szCs w:val="24"/>
        </w:rPr>
        <w:t>。（</w:t>
      </w:r>
      <w:r>
        <w:rPr>
          <w:rFonts w:hint="eastAsia" w:ascii="仿宋" w:hAnsi="仿宋" w:eastAsia="仿宋"/>
          <w:sz w:val="24"/>
          <w:szCs w:val="24"/>
          <w:highlight w:val="none"/>
        </w:rPr>
        <w:t>从本工程竣工验收完毕之日起算）。</w:t>
      </w:r>
      <w:r>
        <w:rPr>
          <w:rFonts w:hint="eastAsia" w:ascii="仿宋" w:hAnsi="仿宋" w:eastAsia="仿宋"/>
          <w:sz w:val="24"/>
          <w:szCs w:val="24"/>
          <w:highlight w:val="none"/>
          <w:lang w:val="en-US" w:eastAsia="zh-CN"/>
        </w:rPr>
        <w:t>质量保证期内乙方免费提供质量缺陷货物的维修、更换等服务。乙方必须在接获甲方提出书面要求后3日内给予书面答复。如有必要，乙方在1日内应指派人员到现场，将有质量缺陷的货物进行维修、更换，一切费用由乙方承担。</w:t>
      </w:r>
    </w:p>
    <w:p>
      <w:pPr>
        <w:widowControl w:val="0"/>
        <w:numPr>
          <w:ilvl w:val="0"/>
          <w:numId w:val="2"/>
        </w:numPr>
        <w:spacing w:after="0" w:line="560" w:lineRule="exact"/>
        <w:ind w:left="0" w:firstLine="0"/>
        <w:jc w:val="both"/>
        <w:rPr>
          <w:rFonts w:ascii="仿宋" w:hAnsi="仿宋" w:eastAsia="仿宋"/>
          <w:b/>
          <w:bCs/>
          <w:sz w:val="24"/>
          <w:szCs w:val="24"/>
        </w:rPr>
      </w:pPr>
      <w:r>
        <w:rPr>
          <w:rFonts w:hint="eastAsia" w:ascii="仿宋" w:hAnsi="仿宋" w:eastAsia="仿宋"/>
          <w:b/>
          <w:bCs/>
          <w:sz w:val="24"/>
          <w:szCs w:val="24"/>
        </w:rPr>
        <w:t>验收方法</w:t>
      </w:r>
    </w:p>
    <w:p>
      <w:pPr>
        <w:widowControl w:val="0"/>
        <w:numPr>
          <w:ilvl w:val="0"/>
          <w:numId w:val="0"/>
        </w:numPr>
        <w:spacing w:after="0" w:line="560" w:lineRule="exact"/>
        <w:ind w:leftChars="0" w:firstLine="480" w:firstLineChars="200"/>
        <w:jc w:val="both"/>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zh-CN"/>
        </w:rPr>
        <w:t>按照国家、地方、行业的技术规范和甲方采购标准验收，甲方对乙方所供货物按照规范随机抽样送第三方检测机构检测，检测范围由甲方决定，检测费用由甲方承担，若检测结果不合格则该批次产品视为不合格给予退场，所产生的</w:t>
      </w:r>
      <w:r>
        <w:rPr>
          <w:rFonts w:hint="eastAsia" w:ascii="仿宋" w:hAnsi="仿宋" w:eastAsia="仿宋" w:cs="Times New Roman"/>
          <w:color w:val="auto"/>
          <w:sz w:val="24"/>
          <w:szCs w:val="24"/>
        </w:rPr>
        <w:t>相关检测、货物退场等</w:t>
      </w:r>
      <w:r>
        <w:rPr>
          <w:rFonts w:hint="eastAsia" w:ascii="仿宋" w:hAnsi="仿宋" w:eastAsia="仿宋" w:cs="Times New Roman"/>
          <w:color w:val="auto"/>
          <w:sz w:val="24"/>
          <w:szCs w:val="24"/>
          <w:lang w:val="zh-CN"/>
        </w:rPr>
        <w:t>费用乙方承担。</w:t>
      </w:r>
    </w:p>
    <w:p>
      <w:pPr>
        <w:widowControl w:val="0"/>
        <w:numPr>
          <w:ilvl w:val="0"/>
          <w:numId w:val="2"/>
        </w:numPr>
        <w:spacing w:after="0" w:line="560" w:lineRule="exact"/>
        <w:ind w:left="0" w:firstLine="0"/>
        <w:jc w:val="both"/>
        <w:rPr>
          <w:rFonts w:ascii="仿宋" w:hAnsi="仿宋" w:eastAsia="仿宋"/>
          <w:sz w:val="24"/>
          <w:szCs w:val="24"/>
        </w:rPr>
      </w:pPr>
      <w:r>
        <w:rPr>
          <w:rFonts w:hint="eastAsia" w:ascii="仿宋" w:hAnsi="仿宋" w:eastAsia="仿宋"/>
          <w:b/>
          <w:bCs/>
          <w:sz w:val="24"/>
          <w:szCs w:val="24"/>
        </w:rPr>
        <w:t>交货地点、交货人员、交货期限</w:t>
      </w:r>
      <w:r>
        <w:rPr>
          <w:rFonts w:hint="eastAsia" w:ascii="仿宋" w:hAnsi="仿宋" w:eastAsia="仿宋"/>
          <w:sz w:val="24"/>
          <w:szCs w:val="24"/>
        </w:rPr>
        <w:t xml:space="preserve"> </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color w:val="auto"/>
          <w:sz w:val="24"/>
          <w:szCs w:val="24"/>
        </w:rPr>
        <w:t>交货地点：</w:t>
      </w:r>
      <w:r>
        <w:rPr>
          <w:rFonts w:hint="eastAsia" w:ascii="仿宋" w:hAnsi="仿宋" w:eastAsia="仿宋"/>
          <w:color w:val="auto"/>
          <w:sz w:val="24"/>
          <w:szCs w:val="24"/>
          <w:lang w:val="en-US" w:eastAsia="zh-CN"/>
        </w:rPr>
        <w:t>儋州市项目指定地点</w:t>
      </w:r>
      <w:r>
        <w:rPr>
          <w:rFonts w:hint="eastAsia" w:ascii="仿宋" w:hAnsi="仿宋" w:eastAsia="仿宋"/>
          <w:color w:val="auto"/>
          <w:sz w:val="24"/>
          <w:szCs w:val="24"/>
        </w:rPr>
        <w:t>。乙方按甲方的供货通知所要求的规格、数量，供应甲方合同明细中要求的物资。</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甲方指定收货人员：姓名</w:t>
      </w:r>
      <w:r>
        <w:rPr>
          <w:rFonts w:hint="eastAsia" w:ascii="仿宋" w:hAnsi="仿宋" w:eastAsia="仿宋"/>
          <w:sz w:val="24"/>
          <w:szCs w:val="24"/>
          <w:u w:val="single"/>
          <w:lang w:val="en-US" w:eastAsia="zh-CN"/>
        </w:rPr>
        <w:t xml:space="preserve">      </w:t>
      </w:r>
      <w:r>
        <w:rPr>
          <w:rFonts w:hint="eastAsia" w:ascii="仿宋" w:hAnsi="仿宋" w:eastAsia="仿宋"/>
          <w:sz w:val="24"/>
          <w:szCs w:val="24"/>
        </w:rPr>
        <w:t>（联系电话</w:t>
      </w:r>
      <w:r>
        <w:rPr>
          <w:rFonts w:hint="eastAsia" w:ascii="仿宋" w:hAnsi="仿宋" w:eastAsia="仿宋"/>
          <w:sz w:val="24"/>
          <w:szCs w:val="24"/>
          <w:u w:val="single"/>
        </w:rPr>
        <w:t xml:space="preserve">         </w:t>
      </w:r>
      <w:r>
        <w:rPr>
          <w:rFonts w:hint="eastAsia" w:ascii="仿宋" w:hAnsi="仿宋" w:eastAsia="仿宋"/>
          <w:sz w:val="24"/>
          <w:szCs w:val="24"/>
        </w:rPr>
        <w:t>，微信号：</w:t>
      </w:r>
      <w:r>
        <w:rPr>
          <w:rFonts w:hint="eastAsia" w:ascii="仿宋" w:hAnsi="仿宋" w:eastAsia="仿宋"/>
          <w:sz w:val="24"/>
          <w:szCs w:val="24"/>
          <w:u w:val="single"/>
        </w:rPr>
        <w:t xml:space="preserve">           </w:t>
      </w:r>
      <w:r>
        <w:rPr>
          <w:rFonts w:hint="eastAsia" w:ascii="仿宋" w:hAnsi="仿宋" w:eastAsia="仿宋"/>
          <w:sz w:val="24"/>
          <w:szCs w:val="24"/>
        </w:rPr>
        <w:t xml:space="preserve"> ）负责签字验收，乙方指定送货人员姓名：</w:t>
      </w:r>
      <w:r>
        <w:rPr>
          <w:rFonts w:hint="eastAsia" w:ascii="仿宋" w:hAnsi="仿宋" w:eastAsia="仿宋"/>
          <w:sz w:val="24"/>
          <w:szCs w:val="24"/>
          <w:u w:val="single"/>
          <w:lang w:val="en-US" w:eastAsia="zh-CN"/>
        </w:rPr>
        <w:t xml:space="preserve">     </w:t>
      </w:r>
      <w:r>
        <w:rPr>
          <w:rFonts w:hint="eastAsia" w:ascii="仿宋" w:hAnsi="仿宋" w:eastAsia="仿宋"/>
          <w:sz w:val="24"/>
          <w:szCs w:val="24"/>
        </w:rPr>
        <w:t>，联系电话:</w:t>
      </w:r>
      <w:r>
        <w:rPr>
          <w:rFonts w:hint="eastAsia" w:ascii="仿宋" w:hAnsi="仿宋" w:eastAsia="仿宋"/>
          <w:sz w:val="24"/>
          <w:szCs w:val="24"/>
          <w:u w:val="single"/>
          <w:lang w:val="en-US" w:eastAsia="zh-CN"/>
        </w:rPr>
        <w:t xml:space="preserve">            </w:t>
      </w:r>
      <w:r>
        <w:rPr>
          <w:rFonts w:hint="eastAsia" w:ascii="仿宋" w:hAnsi="仿宋" w:eastAsia="仿宋"/>
          <w:sz w:val="24"/>
          <w:szCs w:val="24"/>
        </w:rPr>
        <w:t>，微信号：</w:t>
      </w:r>
      <w:r>
        <w:rPr>
          <w:rFonts w:hint="eastAsia" w:ascii="仿宋" w:hAnsi="仿宋" w:eastAsia="仿宋"/>
          <w:sz w:val="24"/>
          <w:szCs w:val="24"/>
          <w:u w:val="single"/>
          <w:lang w:val="en-US" w:eastAsia="zh-CN"/>
        </w:rPr>
        <w:t xml:space="preserve">          </w:t>
      </w:r>
      <w:r>
        <w:rPr>
          <w:rFonts w:hint="eastAsia" w:ascii="仿宋" w:hAnsi="仿宋" w:eastAsia="仿宋"/>
          <w:sz w:val="24"/>
          <w:szCs w:val="24"/>
        </w:rPr>
        <w:t>。任一方如要求变更上述人员及相关信息的，应在送货、交货前书面通知另一方，该通知函件作为本合同的补充条款，非合同约定人员签字的货单，不作为双方结算的依据。</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交货日期：乙方收到订单后3天内将货物送达该项目指定地点。</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货款的结算及支付方式</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验收计量方式：整齐堆码点数，堆码时需把</w:t>
      </w:r>
      <w:r>
        <w:rPr>
          <w:rFonts w:hint="eastAsia" w:ascii="仿宋" w:hAnsi="仿宋" w:eastAsia="仿宋"/>
          <w:sz w:val="24"/>
          <w:szCs w:val="24"/>
          <w:lang w:val="en-US" w:eastAsia="zh-CN"/>
        </w:rPr>
        <w:t>损坏产品</w:t>
      </w:r>
      <w:r>
        <w:rPr>
          <w:rFonts w:hint="eastAsia" w:ascii="仿宋" w:hAnsi="仿宋" w:eastAsia="仿宋"/>
          <w:sz w:val="24"/>
          <w:szCs w:val="24"/>
        </w:rPr>
        <w:t>挑出，在计量结算时给予扣除，并由供方运输退场，具体验收合格数量以甲方收料员、</w:t>
      </w:r>
      <w:r>
        <w:rPr>
          <w:rFonts w:hint="eastAsia" w:ascii="仿宋" w:hAnsi="仿宋" w:eastAsia="仿宋"/>
          <w:sz w:val="24"/>
          <w:szCs w:val="24"/>
          <w:lang w:val="en-US" w:eastAsia="zh-CN"/>
        </w:rPr>
        <w:t>总包</w:t>
      </w:r>
      <w:r>
        <w:rPr>
          <w:rFonts w:hint="eastAsia" w:ascii="仿宋" w:hAnsi="仿宋" w:eastAsia="仿宋"/>
          <w:sz w:val="24"/>
          <w:szCs w:val="24"/>
        </w:rPr>
        <w:t>及乙方共同确认数据为准。</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结算方式</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货款采取月结方式，</w:t>
      </w:r>
      <w:r>
        <w:rPr>
          <w:rFonts w:hint="eastAsia" w:ascii="仿宋" w:hAnsi="仿宋" w:eastAsia="仿宋" w:cs="Times New Roman"/>
          <w:sz w:val="24"/>
          <w:szCs w:val="24"/>
          <w:lang w:eastAsia="zh-CN"/>
        </w:rPr>
        <w:t>上月20日至本月19日为一个结算周期。乙方将货物运至项目地点，结算周期结束后5日内双方就供应合格物资对账办理结算；对账结算完毕，乙方提交对应金额的发票，甲方收到发票后15个工作日内以包括但不限于现金、银行承兑汇票支付当月结算物资价款的</w:t>
      </w:r>
      <w:r>
        <w:rPr>
          <w:rFonts w:hint="eastAsia" w:ascii="仿宋" w:hAnsi="仿宋" w:eastAsia="仿宋" w:cs="Times New Roman"/>
          <w:sz w:val="24"/>
          <w:szCs w:val="24"/>
          <w:lang w:val="en-US" w:eastAsia="zh-CN"/>
        </w:rPr>
        <w:t>100</w:t>
      </w:r>
      <w:r>
        <w:rPr>
          <w:rFonts w:hint="eastAsia" w:ascii="仿宋" w:hAnsi="仿宋" w:eastAsia="仿宋" w:cs="Times New Roman"/>
          <w:sz w:val="24"/>
          <w:szCs w:val="24"/>
          <w:lang w:eastAsia="zh-CN"/>
        </w:rPr>
        <w:t>%（如甲方以银行承兑方式支付货款的，承兑贴现利息由甲方承担）。</w:t>
      </w:r>
    </w:p>
    <w:p>
      <w:pPr>
        <w:widowControl w:val="0"/>
        <w:numPr>
          <w:ilvl w:val="0"/>
          <w:numId w:val="0"/>
        </w:numPr>
        <w:spacing w:after="0" w:line="560" w:lineRule="exact"/>
        <w:ind w:leftChars="0"/>
        <w:jc w:val="both"/>
        <w:rPr>
          <w:rFonts w:hint="eastAsia" w:ascii="仿宋" w:hAnsi="仿宋" w:eastAsia="仿宋"/>
          <w:sz w:val="24"/>
          <w:szCs w:val="24"/>
        </w:rPr>
      </w:pPr>
      <w:r>
        <w:rPr>
          <w:rFonts w:hint="eastAsia" w:ascii="仿宋" w:hAnsi="仿宋" w:eastAsia="仿宋"/>
          <w:sz w:val="24"/>
          <w:szCs w:val="24"/>
        </w:rPr>
        <w:t>乙方指定收款账户：</w:t>
      </w:r>
    </w:p>
    <w:p>
      <w:pPr>
        <w:spacing w:line="560" w:lineRule="exact"/>
        <w:rPr>
          <w:rFonts w:hint="eastAsia" w:ascii="仿宋" w:hAnsi="仿宋" w:eastAsia="仿宋"/>
          <w:sz w:val="24"/>
          <w:szCs w:val="24"/>
        </w:rPr>
      </w:pPr>
      <w:r>
        <w:rPr>
          <w:rFonts w:hint="eastAsia" w:ascii="仿宋" w:hAnsi="仿宋" w:eastAsia="仿宋"/>
          <w:sz w:val="24"/>
          <w:szCs w:val="24"/>
        </w:rPr>
        <w:t>名    称：_________有限公司</w:t>
      </w:r>
    </w:p>
    <w:p>
      <w:pPr>
        <w:spacing w:line="560" w:lineRule="exact"/>
        <w:rPr>
          <w:rFonts w:hint="eastAsia" w:ascii="仿宋" w:hAnsi="仿宋" w:eastAsia="仿宋"/>
          <w:sz w:val="24"/>
          <w:szCs w:val="24"/>
        </w:rPr>
      </w:pPr>
      <w:r>
        <w:rPr>
          <w:rFonts w:hint="eastAsia" w:ascii="仿宋" w:hAnsi="仿宋" w:eastAsia="仿宋"/>
          <w:sz w:val="24"/>
          <w:szCs w:val="24"/>
        </w:rPr>
        <w:t>开 户 行：_________</w:t>
      </w:r>
    </w:p>
    <w:p>
      <w:pPr>
        <w:spacing w:line="560" w:lineRule="exact"/>
        <w:rPr>
          <w:rFonts w:hint="eastAsia" w:ascii="仿宋" w:hAnsi="仿宋" w:eastAsia="仿宋"/>
          <w:sz w:val="24"/>
          <w:szCs w:val="24"/>
        </w:rPr>
      </w:pPr>
      <w:r>
        <w:rPr>
          <w:rFonts w:hint="eastAsia" w:ascii="仿宋" w:hAnsi="仿宋" w:eastAsia="仿宋"/>
          <w:sz w:val="24"/>
          <w:szCs w:val="24"/>
        </w:rPr>
        <w:t>账    号：</w:t>
      </w:r>
      <w:r>
        <w:rPr>
          <w:rFonts w:hint="eastAsia" w:ascii="仿宋" w:hAnsi="仿宋" w:eastAsia="仿宋"/>
          <w:kern w:val="0"/>
          <w:sz w:val="24"/>
          <w:szCs w:val="24"/>
        </w:rPr>
        <w:t>_________</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甲方开票信息：</w:t>
      </w:r>
    </w:p>
    <w:p>
      <w:pPr>
        <w:spacing w:line="560" w:lineRule="exact"/>
        <w:rPr>
          <w:rFonts w:hint="eastAsia" w:ascii="仿宋" w:hAnsi="仿宋" w:eastAsia="仿宋"/>
          <w:sz w:val="24"/>
          <w:szCs w:val="24"/>
        </w:rPr>
      </w:pPr>
      <w:r>
        <w:rPr>
          <w:rFonts w:hint="eastAsia" w:ascii="仿宋" w:hAnsi="仿宋" w:eastAsia="仿宋"/>
        </w:rPr>
        <w:t>名</w:t>
      </w:r>
      <w:r>
        <w:rPr>
          <w:rFonts w:hint="eastAsia" w:ascii="仿宋" w:hAnsi="仿宋" w:eastAsia="仿宋"/>
          <w:sz w:val="24"/>
          <w:szCs w:val="24"/>
        </w:rPr>
        <w:t xml:space="preserve">    称：海南洋浦陆海国际贸易有限公司</w:t>
      </w:r>
    </w:p>
    <w:p>
      <w:pPr>
        <w:spacing w:line="560" w:lineRule="exact"/>
        <w:rPr>
          <w:rFonts w:hint="eastAsia" w:ascii="仿宋" w:hAnsi="仿宋" w:eastAsia="仿宋"/>
          <w:sz w:val="24"/>
          <w:szCs w:val="24"/>
        </w:rPr>
      </w:pPr>
      <w:r>
        <w:rPr>
          <w:rFonts w:hint="eastAsia" w:ascii="仿宋" w:hAnsi="仿宋" w:eastAsia="仿宋"/>
          <w:sz w:val="24"/>
          <w:szCs w:val="24"/>
        </w:rPr>
        <w:t>纳税人识别号：91460000MABU89U388</w:t>
      </w:r>
    </w:p>
    <w:p>
      <w:pPr>
        <w:spacing w:line="560" w:lineRule="exact"/>
        <w:rPr>
          <w:rFonts w:hint="eastAsia" w:ascii="仿宋" w:hAnsi="仿宋" w:eastAsia="仿宋"/>
          <w:sz w:val="24"/>
          <w:szCs w:val="24"/>
        </w:rPr>
      </w:pPr>
      <w:r>
        <w:rPr>
          <w:rFonts w:hint="eastAsia" w:ascii="仿宋" w:hAnsi="仿宋" w:eastAsia="仿宋"/>
          <w:sz w:val="24"/>
          <w:szCs w:val="24"/>
        </w:rPr>
        <w:t>营业地址：海南省洋浦经济开发区新英湾区控股大道洋浦大厦8楼818房</w:t>
      </w:r>
    </w:p>
    <w:p>
      <w:pPr>
        <w:spacing w:line="560" w:lineRule="exact"/>
        <w:rPr>
          <w:rFonts w:hint="eastAsia" w:ascii="仿宋" w:hAnsi="仿宋" w:eastAsia="仿宋"/>
          <w:sz w:val="24"/>
          <w:szCs w:val="24"/>
        </w:rPr>
      </w:pPr>
      <w:r>
        <w:rPr>
          <w:rFonts w:hint="eastAsia" w:ascii="仿宋" w:hAnsi="仿宋" w:eastAsia="仿宋"/>
          <w:sz w:val="24"/>
          <w:szCs w:val="24"/>
        </w:rPr>
        <w:t>电    话：0898-28816705</w:t>
      </w:r>
    </w:p>
    <w:p>
      <w:pPr>
        <w:spacing w:line="560" w:lineRule="exact"/>
        <w:rPr>
          <w:rFonts w:hint="eastAsia" w:ascii="仿宋" w:hAnsi="仿宋" w:eastAsia="仿宋"/>
          <w:sz w:val="24"/>
          <w:szCs w:val="24"/>
        </w:rPr>
      </w:pPr>
      <w:r>
        <w:rPr>
          <w:rFonts w:hint="eastAsia" w:ascii="仿宋" w:hAnsi="仿宋" w:eastAsia="仿宋"/>
          <w:sz w:val="24"/>
          <w:szCs w:val="24"/>
        </w:rPr>
        <w:t>开 户 行：海南银行股份有限公司洋浦支行</w:t>
      </w:r>
    </w:p>
    <w:p>
      <w:pPr>
        <w:spacing w:line="560" w:lineRule="exact"/>
        <w:rPr>
          <w:rFonts w:hint="eastAsia" w:ascii="仿宋" w:hAnsi="仿宋" w:eastAsia="仿宋"/>
          <w:sz w:val="24"/>
          <w:szCs w:val="24"/>
        </w:rPr>
      </w:pPr>
      <w:r>
        <w:rPr>
          <w:rFonts w:hint="eastAsia" w:ascii="仿宋" w:hAnsi="仿宋" w:eastAsia="仿宋"/>
          <w:sz w:val="24"/>
          <w:szCs w:val="24"/>
        </w:rPr>
        <w:t>银行账号：6005178800010</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违约责任</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乙方若不能按甲方需求在规定期限送至指定现场存货地点，乙方将承担因此造成的一切损失，并且甲方向乙方收取逾期运达物资总额（含增值税）每日0.5％的违约金，若逾期三天以上，则甲方有权因乙方违约而单方终止本合同。（产品实际运送到合同指定地点的时间为乙方的实际交货时间，并以此来确定是否构成逾期交货）；若因乙方逾期供货，导致甲方所负责供应的项目工期延误，甲方因此而遭受损失的，则甲方可按照批次货价的30%收取违约金，同时可要求乙方赔偿因工程延期而甲方遭受的全部损失。若出现此类情况两次，则甲方可当方解除合同。</w:t>
      </w:r>
      <w:r>
        <w:rPr>
          <w:rFonts w:hint="eastAsia" w:ascii="仿宋" w:hAnsi="仿宋" w:eastAsia="仿宋" w:cs="仿宋"/>
          <w:sz w:val="24"/>
          <w:szCs w:val="24"/>
        </w:rPr>
        <w:t>乙方不得因甲方未按期付款而停止供应，如因停止供应造成的损失参照乙方延期供应违约责任执行。</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本合同所采购与供应的物资，在进场验收或使用过程中（规定质量保证期限内）出现品牌规格数量不符、单据丢失、物资质量不达标等问题，甲方可按下列条款中的一条或多条向乙方主张权利：</w:t>
      </w:r>
    </w:p>
    <w:p>
      <w:pPr>
        <w:autoSpaceDE w:val="0"/>
        <w:spacing w:after="0" w:line="560" w:lineRule="exact"/>
        <w:rPr>
          <w:rFonts w:hint="eastAsia" w:ascii="仿宋" w:hAnsi="仿宋" w:eastAsia="仿宋"/>
          <w:sz w:val="24"/>
          <w:szCs w:val="24"/>
        </w:rPr>
      </w:pPr>
      <w:r>
        <w:rPr>
          <w:rFonts w:hint="eastAsia" w:ascii="仿宋" w:hAnsi="仿宋" w:eastAsia="仿宋"/>
          <w:sz w:val="24"/>
          <w:szCs w:val="24"/>
        </w:rPr>
        <w:t>（1）同意甲方拒收物资，并把被拒收物资的预付货款返还甲方。</w:t>
      </w:r>
    </w:p>
    <w:p>
      <w:pPr>
        <w:autoSpaceDE w:val="0"/>
        <w:spacing w:after="0" w:line="560" w:lineRule="exact"/>
        <w:rPr>
          <w:rFonts w:hint="eastAsia" w:ascii="仿宋" w:hAnsi="仿宋" w:eastAsia="仿宋"/>
          <w:sz w:val="24"/>
          <w:szCs w:val="24"/>
        </w:rPr>
      </w:pPr>
      <w:r>
        <w:rPr>
          <w:rFonts w:hint="eastAsia" w:ascii="仿宋" w:hAnsi="仿宋" w:eastAsia="仿宋"/>
          <w:sz w:val="24"/>
          <w:szCs w:val="24"/>
        </w:rPr>
        <w:t>（2）要求乙方承担退货过程中发生的一切损失和费用，包括利息、银行费用、运输和保险费、检验费、仓储和装卸费以及为保管和保护退货货物所需的其它费用。</w:t>
      </w:r>
    </w:p>
    <w:p>
      <w:pPr>
        <w:autoSpaceDE w:val="0"/>
        <w:spacing w:after="0" w:line="560" w:lineRule="exact"/>
        <w:rPr>
          <w:rFonts w:hint="eastAsia" w:ascii="仿宋" w:hAnsi="仿宋" w:eastAsia="仿宋"/>
          <w:sz w:val="24"/>
          <w:szCs w:val="24"/>
        </w:rPr>
      </w:pPr>
      <w:r>
        <w:rPr>
          <w:rFonts w:hint="eastAsia" w:ascii="仿宋" w:hAnsi="仿宋" w:eastAsia="仿宋"/>
          <w:sz w:val="24"/>
          <w:szCs w:val="24"/>
        </w:rPr>
        <w:t>（3）若乙方出现单据丢失等情况，则甲方对乙方每次处以500元人民币的罚款，且乙方必须负责将有关单据补充完善；若因此类情况导致工期出现延误的，导致甲方遭受损失，甲方有权要求乙方按照当批次货价20%支付违约金，并赔偿由此遭受的全部损失；若出现此类情况两次，则甲方可单方解除合同。</w:t>
      </w:r>
    </w:p>
    <w:p>
      <w:pPr>
        <w:spacing w:after="0" w:line="560" w:lineRule="exact"/>
        <w:rPr>
          <w:rFonts w:hint="eastAsia" w:eastAsia="宋体"/>
          <w:color w:val="auto"/>
          <w:sz w:val="21"/>
          <w:szCs w:val="21"/>
        </w:rPr>
      </w:pPr>
      <w:r>
        <w:rPr>
          <w:rFonts w:hint="eastAsia" w:ascii="仿宋" w:hAnsi="仿宋" w:eastAsia="仿宋"/>
          <w:sz w:val="24"/>
          <w:szCs w:val="24"/>
        </w:rPr>
        <w:t>（4）若出现规格、数量不符的情况，甲方对乙方每次处以1000元人民币的罚款；若因此类情况导致工期出现延误的，导致甲方遭受损失，甲方有权要求乙方按照当批次货价20%支付违约金，并赔偿由此遭受的全部损失；若出现此类情况两次，则甲方可单方解除合同。</w:t>
      </w:r>
    </w:p>
    <w:p>
      <w:pPr>
        <w:spacing w:after="0" w:line="560" w:lineRule="exact"/>
        <w:rPr>
          <w:rFonts w:hint="eastAsia"/>
        </w:rPr>
      </w:pPr>
      <w:r>
        <w:rPr>
          <w:rFonts w:hint="eastAsia" w:ascii="仿宋" w:hAnsi="仿宋" w:eastAsia="仿宋"/>
          <w:sz w:val="24"/>
          <w:szCs w:val="24"/>
        </w:rPr>
        <w:t>（5）若出现质量不合格的产品，甲方有权邀请当地有关质量监督管理部门进行检验，并出具检验证书，若证实乙方所供物资不符合要求，甲方对乙方每次处于10000元人民币的罚款，若因此类情况导致工期出现延误的，导致甲方遭受损失，甲方有权要求乙方按照当批次货价20%支付违约金，并赔偿由此遭受的全部损失；另外，还可要求乙方更换有缺陷的物资，以达到合同约定的质量和性能，乙方承担一切费用和风险，同时相应延长被更换物资的质量保证期；若出现此类情况两次，则甲方可单方解除合同。</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在甲方向乙方支付结算货款前，乙方应向甲方开具信息真实、准确、合规合法的增值税专用发票。因乙方开具的发票不规范、不合法或涉嫌虚开发票，给甲方造成无法及时认证、抵扣发票等税务问题，甲方有权据此不支付相应的货款，且不构成合同违约，乙方应向甲方重新开具发票，并向甲方承担赔偿责任，包括但不限于税款、滞纳金、罚款及相关损失等</w:t>
      </w:r>
      <w:r>
        <w:rPr>
          <w:rFonts w:hint="eastAsia" w:ascii="仿宋" w:hAnsi="仿宋" w:eastAsia="仿宋" w:cs="仿宋"/>
          <w:sz w:val="24"/>
          <w:szCs w:val="24"/>
        </w:rPr>
        <w:t>。</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违反本合同的义务给其他守约方造成损失的，违约方都应当立即停止违约行为，并承担赔偿损失责任，包括但不限于守约方为追索权利而支出的诉讼费、保全费、评估费、鉴定费、调查费、公证费、律师费，以及向第三方支付的赔偿、为应对第三方的指控而支付的一切费用。</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合同生效及争议解决</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本合同经双方加盖公章后生效。</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因本合同（协议）引起的一切争议， 由双方当事人协商解决；协商不成，双方将争议提交甲方所在地人民法院解决。</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通知及送达</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向对方发出的任何通知均应采取书面形式，并以电话通知对方加以确认。双方共同确认以下联系人、电话、电子邮箱、地址可被用于各方之间书面材料、文件、图纸等送达之联络信息，也可用作于政府部门、人民法院等材料送达之联络信息。</w:t>
      </w:r>
    </w:p>
    <w:p>
      <w:pPr>
        <w:spacing w:line="560" w:lineRule="exact"/>
        <w:rPr>
          <w:rFonts w:hint="eastAsia" w:ascii="仿宋" w:hAnsi="仿宋" w:eastAsia="仿宋"/>
          <w:sz w:val="24"/>
          <w:szCs w:val="24"/>
        </w:rPr>
      </w:pPr>
      <w:r>
        <w:rPr>
          <w:rFonts w:hint="eastAsia" w:ascii="仿宋" w:hAnsi="仿宋" w:eastAsia="仿宋"/>
          <w:sz w:val="24"/>
          <w:szCs w:val="24"/>
        </w:rPr>
        <w:t>甲方</w:t>
      </w:r>
    </w:p>
    <w:p>
      <w:pPr>
        <w:spacing w:line="560" w:lineRule="exact"/>
        <w:rPr>
          <w:rFonts w:hint="eastAsia" w:ascii="仿宋" w:hAnsi="仿宋" w:eastAsia="仿宋"/>
          <w:sz w:val="24"/>
          <w:szCs w:val="24"/>
        </w:rPr>
      </w:pPr>
      <w:r>
        <w:rPr>
          <w:rFonts w:hint="eastAsia" w:ascii="仿宋" w:hAnsi="仿宋" w:eastAsia="仿宋"/>
          <w:sz w:val="24"/>
          <w:szCs w:val="24"/>
        </w:rPr>
        <w:t xml:space="preserve">联系人：                 </w:t>
      </w:r>
    </w:p>
    <w:p>
      <w:pPr>
        <w:spacing w:line="560" w:lineRule="exact"/>
        <w:rPr>
          <w:rFonts w:hint="eastAsia" w:ascii="仿宋" w:hAnsi="仿宋" w:eastAsia="仿宋"/>
          <w:sz w:val="24"/>
          <w:szCs w:val="24"/>
        </w:rPr>
      </w:pPr>
      <w:r>
        <w:rPr>
          <w:rFonts w:hint="eastAsia" w:ascii="仿宋" w:hAnsi="仿宋" w:eastAsia="仿宋"/>
          <w:sz w:val="24"/>
          <w:szCs w:val="24"/>
        </w:rPr>
        <w:t>联系电话：</w:t>
      </w:r>
    </w:p>
    <w:p>
      <w:pPr>
        <w:spacing w:line="560" w:lineRule="exact"/>
        <w:rPr>
          <w:rFonts w:hint="eastAsia" w:ascii="仿宋" w:hAnsi="仿宋" w:eastAsia="仿宋"/>
          <w:sz w:val="24"/>
          <w:szCs w:val="24"/>
        </w:rPr>
      </w:pPr>
      <w:r>
        <w:rPr>
          <w:rFonts w:hint="eastAsia" w:ascii="仿宋" w:hAnsi="仿宋" w:eastAsia="仿宋"/>
          <w:sz w:val="24"/>
          <w:szCs w:val="24"/>
        </w:rPr>
        <w:t xml:space="preserve">微信号：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联系邮箱：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联系地址： 海南省儋州市洋浦经济开发区洋浦国际商业大厦305室             </w:t>
      </w:r>
    </w:p>
    <w:p>
      <w:pPr>
        <w:spacing w:line="560" w:lineRule="exact"/>
        <w:rPr>
          <w:rFonts w:hint="eastAsia" w:ascii="仿宋" w:hAnsi="仿宋" w:eastAsia="仿宋"/>
          <w:sz w:val="24"/>
          <w:szCs w:val="24"/>
        </w:rPr>
      </w:pPr>
      <w:r>
        <w:rPr>
          <w:rFonts w:hint="eastAsia" w:ascii="仿宋" w:hAnsi="仿宋" w:eastAsia="仿宋"/>
          <w:sz w:val="24"/>
          <w:szCs w:val="24"/>
        </w:rPr>
        <w:t>乙方</w:t>
      </w:r>
    </w:p>
    <w:p>
      <w:pPr>
        <w:spacing w:line="560" w:lineRule="exact"/>
        <w:rPr>
          <w:rFonts w:hint="eastAsia" w:ascii="仿宋" w:hAnsi="仿宋" w:eastAsia="仿宋"/>
          <w:sz w:val="24"/>
          <w:szCs w:val="24"/>
        </w:rPr>
      </w:pPr>
      <w:r>
        <w:rPr>
          <w:rFonts w:hint="eastAsia" w:ascii="仿宋" w:hAnsi="仿宋" w:eastAsia="仿宋"/>
          <w:sz w:val="24"/>
          <w:szCs w:val="24"/>
        </w:rPr>
        <w:t xml:space="preserve">联系人：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联系电话： </w:t>
      </w:r>
    </w:p>
    <w:p>
      <w:pPr>
        <w:spacing w:line="560" w:lineRule="exact"/>
        <w:rPr>
          <w:rFonts w:hint="eastAsia" w:ascii="仿宋" w:hAnsi="仿宋" w:eastAsia="仿宋"/>
          <w:sz w:val="24"/>
          <w:szCs w:val="24"/>
        </w:rPr>
      </w:pPr>
      <w:r>
        <w:rPr>
          <w:rFonts w:hint="eastAsia" w:ascii="仿宋" w:hAnsi="仿宋" w:eastAsia="仿宋"/>
          <w:sz w:val="24"/>
          <w:szCs w:val="24"/>
        </w:rPr>
        <w:t xml:space="preserve">微信号：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联系邮箱：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联系地址： </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任何一方变更本合同所示的项目联系人及联系方式，应提前3日书面通知对方。否则对方有权依据本合同载明的联络信息进行联系，且视为送达。 </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其他约定事项</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双方往来均以书面形式（指合同书、函件、传真）为准。 </w:t>
      </w:r>
    </w:p>
    <w:p>
      <w:pPr>
        <w:widowControl w:val="0"/>
        <w:numPr>
          <w:ilvl w:val="1"/>
          <w:numId w:val="2"/>
        </w:numPr>
        <w:autoSpaceDE w:val="0"/>
        <w:spacing w:after="0" w:line="560" w:lineRule="exact"/>
        <w:ind w:left="0" w:firstLine="0"/>
        <w:jc w:val="both"/>
        <w:rPr>
          <w:rFonts w:hint="eastAsia"/>
        </w:rPr>
      </w:pPr>
      <w:r>
        <w:rPr>
          <w:rFonts w:hint="eastAsia" w:ascii="仿宋" w:hAnsi="仿宋" w:eastAsia="仿宋"/>
          <w:sz w:val="24"/>
          <w:szCs w:val="24"/>
        </w:rPr>
        <w:t xml:space="preserve"> 本合同一式</w:t>
      </w:r>
      <w:r>
        <w:rPr>
          <w:rFonts w:hint="eastAsia" w:ascii="仿宋" w:hAnsi="仿宋" w:eastAsia="仿宋"/>
          <w:sz w:val="24"/>
          <w:szCs w:val="24"/>
          <w:lang w:val="en-US" w:eastAsia="zh-CN"/>
        </w:rPr>
        <w:t>肆</w:t>
      </w:r>
      <w:r>
        <w:rPr>
          <w:rFonts w:hint="eastAsia" w:ascii="仿宋" w:hAnsi="仿宋" w:eastAsia="仿宋"/>
          <w:sz w:val="24"/>
          <w:szCs w:val="24"/>
        </w:rPr>
        <w:t>份，甲方</w:t>
      </w:r>
      <w:r>
        <w:rPr>
          <w:rFonts w:hint="eastAsia" w:ascii="仿宋" w:hAnsi="仿宋" w:eastAsia="仿宋"/>
          <w:sz w:val="24"/>
          <w:szCs w:val="24"/>
          <w:lang w:val="en-US" w:eastAsia="zh-CN"/>
        </w:rPr>
        <w:t>贰</w:t>
      </w:r>
      <w:r>
        <w:rPr>
          <w:rFonts w:hint="eastAsia" w:ascii="仿宋" w:hAnsi="仿宋" w:eastAsia="仿宋"/>
          <w:sz w:val="24"/>
          <w:szCs w:val="24"/>
        </w:rPr>
        <w:t>份，乙方</w:t>
      </w:r>
      <w:r>
        <w:rPr>
          <w:rFonts w:hint="eastAsia" w:ascii="仿宋" w:hAnsi="仿宋" w:eastAsia="仿宋"/>
          <w:sz w:val="24"/>
          <w:szCs w:val="24"/>
          <w:lang w:val="en-US" w:eastAsia="zh-CN"/>
        </w:rPr>
        <w:t>贰</w:t>
      </w:r>
      <w:r>
        <w:rPr>
          <w:rFonts w:hint="eastAsia" w:ascii="仿宋" w:hAnsi="仿宋" w:eastAsia="仿宋"/>
          <w:sz w:val="24"/>
          <w:szCs w:val="24"/>
        </w:rPr>
        <w:t>份。</w:t>
      </w:r>
    </w:p>
    <w:p>
      <w:pPr>
        <w:pStyle w:val="2"/>
        <w:rPr>
          <w:rFonts w:hint="eastAsia"/>
        </w:rPr>
      </w:pPr>
      <w:r>
        <w:rPr>
          <w:rFonts w:hint="eastAsia"/>
        </w:rPr>
        <w:t xml:space="preserve"> </w:t>
      </w:r>
    </w:p>
    <w:p>
      <w:pPr>
        <w:pStyle w:val="11"/>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甲方（盖章）：                       乙方（盖章）：                </w:t>
      </w:r>
    </w:p>
    <w:p>
      <w:pPr>
        <w:pStyle w:val="11"/>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w:t>
      </w:r>
    </w:p>
    <w:p>
      <w:pPr>
        <w:pStyle w:val="11"/>
        <w:spacing w:line="360" w:lineRule="auto"/>
        <w:rPr>
          <w:rFonts w:hint="eastAsia"/>
        </w:rPr>
      </w:pPr>
      <w:r>
        <w:rPr>
          <w:rFonts w:hint="eastAsia" w:ascii="仿宋" w:hAnsi="仿宋" w:eastAsia="仿宋"/>
          <w:color w:val="000000"/>
          <w:sz w:val="24"/>
          <w:szCs w:val="24"/>
        </w:rPr>
        <w:t>签署日期：</w:t>
      </w:r>
      <w:r>
        <w:rPr>
          <w:rFonts w:hint="eastAsia" w:ascii="仿宋" w:hAnsi="仿宋" w:eastAsia="仿宋"/>
          <w:color w:val="000000"/>
          <w:sz w:val="24"/>
          <w:szCs w:val="24"/>
          <w:u w:val="single"/>
        </w:rPr>
        <w:t>202</w:t>
      </w:r>
      <w:r>
        <w:rPr>
          <w:rFonts w:hint="eastAsia" w:ascii="仿宋" w:hAnsi="仿宋" w:eastAsia="仿宋"/>
          <w:color w:val="000000"/>
          <w:sz w:val="24"/>
          <w:szCs w:val="24"/>
          <w:u w:val="single"/>
          <w:lang w:val="en-US" w:eastAsia="zh-CN"/>
        </w:rPr>
        <w:t>4</w:t>
      </w:r>
      <w:r>
        <w:rPr>
          <w:rFonts w:hint="eastAsia" w:ascii="仿宋" w:hAnsi="仿宋" w:eastAsia="仿宋"/>
          <w:color w:val="000000"/>
          <w:sz w:val="24"/>
          <w:szCs w:val="24"/>
        </w:rPr>
        <w:t>年</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月</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日</w:t>
      </w:r>
    </w:p>
    <w:p>
      <w:pPr>
        <w:pStyle w:val="8"/>
        <w:ind w:firstLine="0"/>
        <w:rPr>
          <w:rFonts w:hint="eastAsia" w:ascii="仿宋" w:hAnsi="仿宋" w:eastAsia="仿宋"/>
          <w:color w:val="000000"/>
          <w:sz w:val="24"/>
          <w:szCs w:val="24"/>
        </w:rPr>
      </w:pPr>
      <w:r>
        <w:rPr>
          <w:rFonts w:ascii="仿宋" w:hAnsi="仿宋" w:eastAsia="仿宋"/>
          <w:color w:val="000000"/>
          <w:sz w:val="24"/>
          <w:szCs w:val="24"/>
        </w:rPr>
        <w:br w:type="page"/>
      </w:r>
      <w:r>
        <w:rPr>
          <w:rFonts w:hint="eastAsia" w:ascii="仿宋" w:hAnsi="仿宋" w:eastAsia="仿宋"/>
          <w:color w:val="000000"/>
          <w:sz w:val="24"/>
          <w:szCs w:val="24"/>
        </w:rPr>
        <w:t xml:space="preserve"> </w:t>
      </w:r>
    </w:p>
    <w:p>
      <w:pPr>
        <w:pStyle w:val="8"/>
        <w:ind w:firstLine="0"/>
        <w:rPr>
          <w:rFonts w:hint="eastAsia" w:ascii="仿宋" w:hAnsi="仿宋" w:eastAsia="仿宋"/>
          <w:color w:val="000000"/>
          <w:sz w:val="24"/>
          <w:szCs w:val="24"/>
        </w:rPr>
      </w:pPr>
      <w:r>
        <w:rPr>
          <w:rFonts w:hint="eastAsia" w:ascii="仿宋" w:hAnsi="仿宋" w:eastAsia="仿宋"/>
          <w:color w:val="000000"/>
          <w:sz w:val="24"/>
          <w:szCs w:val="24"/>
        </w:rPr>
        <w:t>附件一：</w:t>
      </w:r>
    </w:p>
    <w:p>
      <w:pPr>
        <w:spacing w:line="440" w:lineRule="exact"/>
        <w:jc w:val="center"/>
        <w:rPr>
          <w:rFonts w:hint="eastAsia" w:ascii="仿宋" w:hAnsi="仿宋" w:eastAsia="仿宋"/>
          <w:b/>
          <w:bCs/>
          <w:color w:val="auto"/>
          <w:sz w:val="44"/>
          <w:szCs w:val="44"/>
        </w:rPr>
      </w:pPr>
      <w:r>
        <w:rPr>
          <w:rFonts w:hint="eastAsia" w:ascii="仿宋" w:hAnsi="仿宋" w:eastAsia="仿宋"/>
          <w:b/>
          <w:bCs/>
          <w:sz w:val="44"/>
          <w:szCs w:val="44"/>
        </w:rPr>
        <w:t>廉洁协议</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rPr>
          <w:rFonts w:hint="eastAsia" w:ascii="仿宋" w:hAnsi="仿宋" w:eastAsia="仿宋"/>
          <w:sz w:val="24"/>
          <w:szCs w:val="24"/>
        </w:rPr>
      </w:pPr>
      <w:r>
        <w:rPr>
          <w:rFonts w:hint="eastAsia" w:ascii="仿宋" w:hAnsi="仿宋" w:eastAsia="仿宋"/>
          <w:sz w:val="24"/>
          <w:szCs w:val="24"/>
        </w:rPr>
        <w:t xml:space="preserve">甲方：【海南洋浦陆海国际贸易有限公司】                     </w:t>
      </w:r>
    </w:p>
    <w:p>
      <w:pPr>
        <w:spacing w:line="440" w:lineRule="exact"/>
        <w:rPr>
          <w:rFonts w:hint="eastAsia" w:ascii="仿宋" w:hAnsi="仿宋" w:eastAsia="仿宋"/>
          <w:sz w:val="24"/>
          <w:szCs w:val="24"/>
        </w:rPr>
      </w:pPr>
      <w:r>
        <w:rPr>
          <w:rFonts w:hint="eastAsia" w:ascii="仿宋" w:hAnsi="仿宋" w:eastAsia="仿宋"/>
          <w:sz w:val="24"/>
          <w:szCs w:val="24"/>
        </w:rPr>
        <w:t xml:space="preserve">乙方：【                            】                             </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一、适用范围</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本合同适用于甲方、乙方的所有工作人员。</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二、甲方对其工作人员的廉洁要求</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甲方禁止其工作人员从事如下行为：</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2.1向乙方索要贿赂、收受回扣及好处费、感谢费等；</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2.2接受乙方馈赠的礼品礼金、通讯工具、交通工具、家电、高档办公用品、购物卡券等；</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2.3 以洽谈业务、签订经济合同为借口，接受乙方或其工作人员外出旅游和进入营业性高档娱乐场所的邀请；</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2.4以个人名义向乙方推荐和指定分包单位、材料供应商，向乙方、分包单位、材料供应商等单位介绍其配偶、子女、亲属等特定关系人从事与履行甲乙双方间合同有关的营利性经营活动；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2.5要求或者接受乙方为其住房装修、婚丧嫁娶、家属和子女的工作安排以及出境等提供方便；</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2.6利用职务便利，向乙方或分包、协作队伍、材料供应商借用交通工具、工款等，或提出、暗示其他不正当要求；</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2.7 要求乙方报销任何应由其个人承担的费用；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2.8 参加有可能影响公正开展工作的宴请、娱乐或其它活动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2.9 进行其他违反政策、法律法规或廉洁从业要求的其他行为。</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三、乙方发现甲方工作人员有本合同第二条所列任何行为，有义务拒绝，亦有义务向甲方举报。</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甲方接受举报的途径如下：</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公司受理部门：纪检监察室</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 xml:space="preserve">公司受理电话：0898-28810186        </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公司受理邮箱：chengl@hnyplh.com</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五、乙方若须按照本廉洁协议约定承担违约责任，并不影响其按照主合同的约定承担违约责任。</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六、本廉洁协作为合同的附件，与合同具有同等法律效力，经合同双方签署后生效。</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七、本合同【一式肆份，甲方执贰份,乙方执贰份】，具有同等效力。</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甲方：【                 】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法定代表人（委托代理人）：【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乙方：【                  】</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rPr>
          <w:rFonts w:hint="eastAsia" w:ascii="仿宋" w:hAnsi="仿宋" w:eastAsia="仿宋"/>
          <w:sz w:val="24"/>
          <w:szCs w:val="24"/>
        </w:rPr>
      </w:pPr>
      <w:r>
        <w:rPr>
          <w:rFonts w:hint="eastAsia" w:ascii="仿宋" w:hAnsi="仿宋" w:eastAsia="仿宋"/>
          <w:sz w:val="24"/>
          <w:szCs w:val="24"/>
        </w:rPr>
        <w:t>法定代表人（委托代理人）：【     】</w:t>
      </w: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br w:type="page"/>
      </w:r>
    </w:p>
    <w:p>
      <w:pPr>
        <w:pStyle w:val="28"/>
        <w:spacing w:line="360" w:lineRule="auto"/>
        <w:ind w:firstLine="0" w:firstLineChars="0"/>
        <w:jc w:val="center"/>
        <w:outlineLvl w:val="0"/>
        <w:rPr>
          <w:rFonts w:hint="eastAsia" w:ascii="楷体" w:hAnsi="楷体" w:eastAsia="楷体" w:cs="楷体"/>
          <w:b/>
          <w:bCs/>
          <w:kern w:val="44"/>
          <w:sz w:val="24"/>
          <w:szCs w:val="24"/>
          <w:lang w:eastAsia="zh-CN"/>
        </w:rPr>
      </w:pPr>
      <w:r>
        <w:rPr>
          <w:rFonts w:hint="eastAsia" w:ascii="楷体" w:hAnsi="楷体" w:eastAsia="楷体" w:cs="楷体"/>
          <w:b/>
          <w:bCs/>
          <w:kern w:val="44"/>
          <w:sz w:val="24"/>
          <w:szCs w:val="24"/>
        </w:rPr>
        <w:t>第</w:t>
      </w:r>
      <w:r>
        <w:rPr>
          <w:rFonts w:hint="eastAsia" w:ascii="楷体" w:hAnsi="楷体" w:eastAsia="楷体" w:cs="楷体"/>
          <w:b/>
          <w:bCs/>
          <w:kern w:val="44"/>
          <w:sz w:val="24"/>
          <w:szCs w:val="24"/>
          <w:lang w:val="en-US" w:eastAsia="zh-CN"/>
        </w:rPr>
        <w:t>三</w:t>
      </w:r>
      <w:r>
        <w:rPr>
          <w:rFonts w:hint="eastAsia" w:ascii="楷体" w:hAnsi="楷体" w:eastAsia="楷体" w:cs="楷体"/>
          <w:b/>
          <w:bCs/>
          <w:kern w:val="44"/>
          <w:sz w:val="24"/>
          <w:szCs w:val="24"/>
        </w:rPr>
        <w:t>章报价书</w:t>
      </w:r>
      <w:r>
        <w:rPr>
          <w:rFonts w:hint="eastAsia" w:ascii="楷体" w:hAnsi="楷体" w:eastAsia="楷体" w:cs="楷体"/>
          <w:b/>
          <w:bCs/>
          <w:kern w:val="44"/>
          <w:sz w:val="24"/>
          <w:szCs w:val="24"/>
          <w:lang w:eastAsia="zh-CN"/>
        </w:rPr>
        <w:t>（</w:t>
      </w:r>
      <w:r>
        <w:rPr>
          <w:rFonts w:hint="eastAsia" w:ascii="楷体" w:hAnsi="楷体" w:eastAsia="楷体" w:cs="楷体"/>
          <w:b/>
          <w:bCs/>
          <w:kern w:val="44"/>
          <w:sz w:val="24"/>
          <w:szCs w:val="24"/>
          <w:lang w:val="en-US" w:eastAsia="zh-CN"/>
        </w:rPr>
        <w:t>格式</w:t>
      </w:r>
      <w:r>
        <w:rPr>
          <w:rFonts w:hint="eastAsia" w:ascii="楷体" w:hAnsi="楷体" w:eastAsia="楷体" w:cs="楷体"/>
          <w:b/>
          <w:bCs/>
          <w:kern w:val="44"/>
          <w:sz w:val="24"/>
          <w:szCs w:val="24"/>
          <w:lang w:eastAsia="zh-CN"/>
        </w:rPr>
        <w:t>）</w:t>
      </w:r>
    </w:p>
    <w:bookmarkEnd w:id="12"/>
    <w:bookmarkEnd w:id="13"/>
    <w:p>
      <w:pPr>
        <w:pStyle w:val="28"/>
        <w:spacing w:line="360" w:lineRule="auto"/>
        <w:ind w:firstLine="0" w:firstLineChars="0"/>
        <w:jc w:val="both"/>
        <w:rPr>
          <w:rFonts w:hint="eastAsia" w:ascii="楷体" w:hAnsi="楷体" w:eastAsia="楷体" w:cs="楷体"/>
          <w:b/>
          <w:bCs/>
          <w:kern w:val="44"/>
          <w:sz w:val="24"/>
          <w:szCs w:val="24"/>
        </w:rPr>
      </w:pPr>
    </w:p>
    <w:p>
      <w:pPr>
        <w:pStyle w:val="28"/>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                                                       金额单位：元</w:t>
      </w:r>
    </w:p>
    <w:tbl>
      <w:tblPr>
        <w:tblStyle w:val="20"/>
        <w:tblW w:w="51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8"/>
        <w:gridCol w:w="1409"/>
        <w:gridCol w:w="1425"/>
        <w:gridCol w:w="849"/>
        <w:gridCol w:w="1151"/>
        <w:gridCol w:w="1667"/>
        <w:gridCol w:w="1539"/>
        <w:gridCol w:w="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序号</w:t>
            </w:r>
          </w:p>
        </w:tc>
        <w:tc>
          <w:tcPr>
            <w:tcW w:w="72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品名</w:t>
            </w:r>
          </w:p>
        </w:tc>
        <w:tc>
          <w:tcPr>
            <w:tcW w:w="7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规格型号</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单位</w:t>
            </w:r>
          </w:p>
        </w:tc>
        <w:tc>
          <w:tcPr>
            <w:tcW w:w="591"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数量</w:t>
            </w:r>
          </w:p>
        </w:tc>
        <w:tc>
          <w:tcPr>
            <w:tcW w:w="16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供货前100%</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723"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7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591"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含税单价</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含税总价</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ALC轻质隔墙板</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default" w:ascii="楷体" w:hAnsi="楷体" w:eastAsia="楷体" w:cs="楷体"/>
                <w:i w:val="0"/>
                <w:iCs w:val="0"/>
                <w:color w:val="000000"/>
                <w:kern w:val="0"/>
                <w:sz w:val="24"/>
                <w:szCs w:val="24"/>
                <w:u w:val="none"/>
                <w:lang w:val="en-US" w:eastAsia="zh-CN" w:bidi="ar"/>
              </w:rPr>
              <w:t>δ100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仿宋" w:hAnsi="仿宋" w:eastAsia="仿宋" w:cs="仿宋"/>
                <w:snapToGrid w:val="0"/>
                <w:color w:val="000000"/>
                <w:kern w:val="0"/>
                <w:sz w:val="21"/>
                <w:szCs w:val="21"/>
                <w:highlight w:val="none"/>
                <w:lang w:val="en-US" w:eastAsia="zh-CN" w:bidi="ar-SA"/>
              </w:rPr>
              <w:t>5500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ALC轻质隔墙板</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δ200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仿宋" w:hAnsi="仿宋" w:eastAsia="仿宋" w:cs="仿宋"/>
                <w:snapToGrid w:val="0"/>
                <w:color w:val="000000"/>
                <w:kern w:val="0"/>
                <w:sz w:val="21"/>
                <w:szCs w:val="21"/>
                <w:highlight w:val="none"/>
                <w:lang w:val="en-US" w:eastAsia="zh-CN" w:bidi="ar-SA"/>
              </w:rPr>
              <w:t>2500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3</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ALC轻质隔墙板</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δ240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ind w:firstLine="0" w:firstLineChars="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仿宋" w:hAnsi="仿宋" w:eastAsia="仿宋" w:cs="仿宋"/>
                <w:snapToGrid w:val="0"/>
                <w:color w:val="000000"/>
                <w:kern w:val="0"/>
                <w:sz w:val="21"/>
                <w:szCs w:val="21"/>
                <w:highlight w:val="none"/>
                <w:lang w:val="en-US" w:eastAsia="zh-CN" w:bidi="ar-SA"/>
              </w:rPr>
              <w:t>200</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18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kern w:val="0"/>
                <w:sz w:val="24"/>
                <w:szCs w:val="24"/>
              </w:rPr>
              <w:t>提供增值税专用发票税率</w:t>
            </w:r>
          </w:p>
        </w:tc>
        <w:tc>
          <w:tcPr>
            <w:tcW w:w="18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13%</w:t>
            </w:r>
          </w:p>
        </w:tc>
        <w:tc>
          <w:tcPr>
            <w:tcW w:w="12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1"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备注：</w:t>
            </w:r>
          </w:p>
          <w:p>
            <w:pPr>
              <w:pStyle w:val="28"/>
              <w:keepNext w:val="0"/>
              <w:keepLines w:val="0"/>
              <w:pageBreakBefore w:val="0"/>
              <w:numPr>
                <w:ilvl w:val="0"/>
                <w:numId w:val="4"/>
              </w:numPr>
              <w:kinsoku/>
              <w:wordWrap/>
              <w:overflowPunct/>
              <w:topLinePunct w:val="0"/>
              <w:autoSpaceDE/>
              <w:autoSpaceDN/>
              <w:bidi w:val="0"/>
              <w:adjustRightInd/>
              <w:snapToGrid/>
              <w:spacing w:line="400" w:lineRule="exact"/>
              <w:ind w:firstLine="0" w:firstLineChars="0"/>
              <w:rPr>
                <w:rFonts w:hint="eastAsia" w:ascii="楷体" w:hAnsi="楷体" w:eastAsia="楷体" w:cs="楷体"/>
                <w:sz w:val="24"/>
                <w:szCs w:val="24"/>
              </w:rPr>
            </w:pPr>
            <w:r>
              <w:rPr>
                <w:rFonts w:hint="eastAsia" w:ascii="楷体" w:hAnsi="楷体" w:eastAsia="楷体" w:cs="楷体"/>
                <w:i w:val="0"/>
                <w:iCs w:val="0"/>
                <w:color w:val="000000"/>
                <w:sz w:val="24"/>
                <w:szCs w:val="24"/>
                <w:u w:val="none"/>
                <w:lang w:val="en-US" w:eastAsia="zh-CN"/>
              </w:rPr>
              <w:t>以上综合价格已包括采购期间的采购费用、增值税税金、合理利润、包装费、各类运杂费、过江过路过桥费、装卸费等运抵至甲方指定交货点的综合费用。</w:t>
            </w:r>
          </w:p>
          <w:p>
            <w:pPr>
              <w:pStyle w:val="28"/>
              <w:keepNext w:val="0"/>
              <w:keepLines w:val="0"/>
              <w:pageBreakBefore w:val="0"/>
              <w:numPr>
                <w:ilvl w:val="0"/>
                <w:numId w:val="4"/>
              </w:numPr>
              <w:kinsoku/>
              <w:wordWrap/>
              <w:overflowPunct/>
              <w:topLinePunct w:val="0"/>
              <w:autoSpaceDE/>
              <w:autoSpaceDN/>
              <w:bidi w:val="0"/>
              <w:adjustRightInd/>
              <w:snapToGrid/>
              <w:spacing w:line="400" w:lineRule="exact"/>
              <w:ind w:firstLine="0" w:firstLineChars="0"/>
              <w:rPr>
                <w:rFonts w:hint="eastAsia" w:ascii="楷体" w:hAnsi="楷体" w:eastAsia="楷体" w:cs="楷体"/>
                <w:i w:val="0"/>
                <w:iCs w:val="0"/>
                <w:color w:val="000000"/>
                <w:sz w:val="24"/>
                <w:szCs w:val="24"/>
                <w:u w:val="none"/>
                <w:lang w:val="en-US" w:eastAsia="zh-CN"/>
              </w:rPr>
            </w:pPr>
            <w:r>
              <w:rPr>
                <w:rFonts w:hint="eastAsia" w:ascii="楷体" w:hAnsi="楷体" w:eastAsia="楷体" w:cs="楷体"/>
                <w:sz w:val="24"/>
                <w:szCs w:val="24"/>
              </w:rPr>
              <w:t>本合同计价货币、结算货币和支付货币均为人民币。</w:t>
            </w:r>
          </w:p>
          <w:p>
            <w:pPr>
              <w:pStyle w:val="28"/>
              <w:keepNext w:val="0"/>
              <w:keepLines w:val="0"/>
              <w:pageBreakBefore w:val="0"/>
              <w:numPr>
                <w:ilvl w:val="0"/>
                <w:numId w:val="4"/>
              </w:numPr>
              <w:kinsoku/>
              <w:wordWrap/>
              <w:overflowPunct/>
              <w:topLinePunct w:val="0"/>
              <w:autoSpaceDE/>
              <w:autoSpaceDN/>
              <w:bidi w:val="0"/>
              <w:adjustRightInd/>
              <w:snapToGrid/>
              <w:spacing w:line="400" w:lineRule="exact"/>
              <w:ind w:firstLine="0" w:firstLineChars="0"/>
              <w:rPr>
                <w:rFonts w:hint="eastAsia" w:ascii="楷体" w:hAnsi="楷体" w:eastAsia="楷体" w:cs="楷体"/>
                <w:i w:val="0"/>
                <w:iCs w:val="0"/>
                <w:color w:val="000000"/>
                <w:sz w:val="24"/>
                <w:szCs w:val="24"/>
                <w:u w:val="none"/>
                <w:lang w:val="en-US" w:eastAsia="zh-CN"/>
              </w:rPr>
            </w:pPr>
            <w:r>
              <w:rPr>
                <w:rFonts w:hint="eastAsia" w:ascii="楷体" w:hAnsi="楷体" w:eastAsia="楷体" w:cs="楷体"/>
                <w:sz w:val="24"/>
                <w:szCs w:val="24"/>
                <w:lang w:val="en-US" w:eastAsia="zh-CN"/>
              </w:rPr>
              <w:t>报价单为若为成交单位，需配合项目需求完成深化设计工作。</w:t>
            </w:r>
          </w:p>
        </w:tc>
      </w:tr>
    </w:tbl>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p>
    <w:p>
      <w:pPr>
        <w:pageBreakBefore w:val="0"/>
        <w:kinsoku/>
        <w:wordWrap/>
        <w:overflowPunct/>
        <w:topLinePunct w:val="0"/>
        <w:autoSpaceDE/>
        <w:autoSpaceDN/>
        <w:bidi w:val="0"/>
        <w:adjustRightInd w:val="0"/>
        <w:snapToGrid w:val="0"/>
        <w:spacing w:line="460" w:lineRule="exact"/>
        <w:textAlignment w:val="auto"/>
        <w:rPr>
          <w:rFonts w:hint="default" w:ascii="楷体" w:hAnsi="楷体" w:eastAsia="楷体" w:cs="楷体"/>
          <w:kern w:val="2"/>
          <w:sz w:val="24"/>
          <w:szCs w:val="24"/>
          <w:lang w:val="en-US" w:eastAsia="zh-CN" w:bidi="ar-SA"/>
        </w:rPr>
      </w:pPr>
      <w:r>
        <w:rPr>
          <w:rFonts w:hint="eastAsia" w:ascii="楷体" w:hAnsi="楷体" w:eastAsia="楷体" w:cs="楷体"/>
          <w:b/>
          <w:bCs/>
          <w:sz w:val="24"/>
          <w:szCs w:val="24"/>
          <w:lang w:val="en-US" w:eastAsia="zh-CN"/>
        </w:rPr>
        <w:t>1.1技术标准：</w:t>
      </w:r>
      <w:r>
        <w:rPr>
          <w:rFonts w:hint="eastAsia" w:ascii="楷体" w:hAnsi="楷体" w:eastAsia="楷体" w:cs="楷体"/>
          <w:kern w:val="2"/>
          <w:sz w:val="24"/>
          <w:szCs w:val="24"/>
          <w:lang w:val="en-US" w:eastAsia="zh-CN" w:bidi="ar-SA"/>
        </w:rPr>
        <w:t>符合《蒸压加气混凝土板》GB/T15762-2020；符合蒸压加气混凝土GB/T11969-2020；符合绝热材料稳态热阻及有关特性的测定-防护热板法GB/T10294-2008。</w:t>
      </w:r>
    </w:p>
    <w:p>
      <w:pPr>
        <w:pageBreakBefore w:val="0"/>
        <w:kinsoku/>
        <w:wordWrap/>
        <w:overflowPunct/>
        <w:topLinePunct w:val="0"/>
        <w:autoSpaceDE/>
        <w:autoSpaceDN/>
        <w:bidi w:val="0"/>
        <w:adjustRightInd w:val="0"/>
        <w:snapToGrid w:val="0"/>
        <w:spacing w:line="460" w:lineRule="exact"/>
        <w:textAlignment w:val="auto"/>
        <w:rPr>
          <w:rFonts w:hint="eastAsia"/>
          <w:spacing w:val="2"/>
          <w:lang w:eastAsia="zh-CN"/>
        </w:rPr>
      </w:pPr>
      <w:r>
        <w:rPr>
          <w:rFonts w:hint="eastAsia" w:ascii="楷体" w:hAnsi="楷体" w:eastAsia="楷体" w:cs="楷体"/>
          <w:b/>
          <w:bCs/>
          <w:sz w:val="24"/>
          <w:szCs w:val="24"/>
          <w:lang w:val="en-US" w:eastAsia="zh-CN"/>
        </w:rPr>
        <w:t>1.2计量方式：</w:t>
      </w:r>
      <w:r>
        <w:rPr>
          <w:rFonts w:hint="eastAsia" w:ascii="楷体" w:hAnsi="楷体" w:eastAsia="楷体" w:cs="楷体"/>
          <w:kern w:val="2"/>
          <w:sz w:val="24"/>
          <w:szCs w:val="24"/>
          <w:lang w:val="en-US" w:eastAsia="zh-CN" w:bidi="ar-SA"/>
        </w:rPr>
        <w:t>1）验收方式：按实计量，以检尺点数结合的方式验收。（2）具体验收合格数量以甲方、乙方、丙方、监理方及总包方共同确认数据为准。</w:t>
      </w:r>
      <w:r>
        <w:rPr>
          <w:rFonts w:hint="eastAsia" w:ascii="楷体" w:hAnsi="楷体" w:eastAsia="楷体" w:cs="楷体"/>
          <w:sz w:val="24"/>
          <w:szCs w:val="24"/>
          <w:lang w:val="en-US" w:eastAsia="zh-CN"/>
        </w:rPr>
        <w:br w:type="textWrapping"/>
      </w:r>
      <w:r>
        <w:rPr>
          <w:rFonts w:hint="eastAsia" w:ascii="楷体" w:hAnsi="楷体" w:eastAsia="楷体" w:cs="楷体"/>
          <w:b/>
          <w:bCs/>
          <w:sz w:val="24"/>
          <w:szCs w:val="24"/>
          <w:lang w:val="en-US" w:eastAsia="zh-CN"/>
        </w:rPr>
        <w:t>1.3 结算方式：</w:t>
      </w:r>
      <w:r>
        <w:rPr>
          <w:rFonts w:hint="eastAsia" w:ascii="楷体" w:hAnsi="楷体" w:eastAsia="楷体" w:cs="楷体"/>
          <w:kern w:val="2"/>
          <w:sz w:val="24"/>
          <w:szCs w:val="24"/>
          <w:lang w:val="en-US" w:eastAsia="zh-CN" w:bidi="ar-SA"/>
        </w:rPr>
        <w:t>货款采取月结方式，上月20日至本月19日为一个结算周期。乙方将货物运至项目地点，结算周期结束后5日内双方就供应合格物资对账办理结算；对账结算完毕，乙方提交对应金额的发票，甲方收到发票后15个工作日内以包括但不限于现金、银行承兑汇票支付当月结算物资价款的100%（如甲方以银行承兑方式支付货款的，承兑贴现利息由甲方承担）。</w:t>
      </w:r>
    </w:p>
    <w:p>
      <w:pPr>
        <w:pStyle w:val="28"/>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楷体" w:hAnsi="楷体" w:eastAsia="楷体" w:cs="楷体"/>
          <w:kern w:val="2"/>
          <w:sz w:val="24"/>
          <w:szCs w:val="24"/>
          <w:lang w:val="en-US" w:eastAsia="zh-CN" w:bidi="ar-SA"/>
        </w:rPr>
      </w:pPr>
      <w:r>
        <w:rPr>
          <w:rFonts w:hint="eastAsia" w:ascii="楷体" w:hAnsi="楷体" w:eastAsia="楷体" w:cs="楷体"/>
          <w:b/>
          <w:bCs/>
          <w:sz w:val="24"/>
          <w:szCs w:val="24"/>
          <w:lang w:val="en-US" w:eastAsia="zh-CN"/>
        </w:rPr>
        <w:t>1.4履约保证金：</w:t>
      </w:r>
      <w:r>
        <w:rPr>
          <w:rFonts w:hint="eastAsia" w:ascii="楷体" w:hAnsi="楷体" w:eastAsia="楷体" w:cs="楷体"/>
          <w:sz w:val="24"/>
          <w:szCs w:val="24"/>
          <w:highlight w:val="none"/>
          <w:lang w:val="en-US" w:eastAsia="zh-CN"/>
        </w:rPr>
        <w:t>合同</w:t>
      </w:r>
      <w:r>
        <w:rPr>
          <w:rFonts w:hint="default" w:ascii="楷体" w:hAnsi="楷体" w:eastAsia="楷体" w:cs="楷体"/>
          <w:sz w:val="24"/>
          <w:szCs w:val="24"/>
          <w:highlight w:val="none"/>
          <w:lang w:val="en-US" w:eastAsia="zh-CN"/>
        </w:rPr>
        <w:t>金额的</w:t>
      </w:r>
      <w:r>
        <w:rPr>
          <w:rFonts w:hint="eastAsia" w:ascii="楷体" w:hAnsi="楷体" w:eastAsia="楷体" w:cs="楷体"/>
          <w:sz w:val="24"/>
          <w:szCs w:val="24"/>
          <w:highlight w:val="none"/>
          <w:lang w:val="en-US" w:eastAsia="zh-CN"/>
        </w:rPr>
        <w:t>3</w:t>
      </w:r>
      <w:r>
        <w:rPr>
          <w:rFonts w:hint="default" w:ascii="楷体" w:hAnsi="楷体" w:eastAsia="楷体" w:cs="楷体"/>
          <w:sz w:val="24"/>
          <w:szCs w:val="24"/>
          <w:highlight w:val="none"/>
          <w:lang w:val="en-US" w:eastAsia="zh-CN"/>
        </w:rPr>
        <w:t>%。履约保证金的提交时间：</w:t>
      </w:r>
      <w:r>
        <w:rPr>
          <w:rFonts w:hint="eastAsia" w:ascii="楷体" w:hAnsi="楷体" w:eastAsia="楷体" w:cs="楷体"/>
          <w:sz w:val="24"/>
          <w:szCs w:val="24"/>
          <w:highlight w:val="none"/>
          <w:lang w:val="en-US" w:eastAsia="zh-CN"/>
        </w:rPr>
        <w:t>成交</w:t>
      </w:r>
      <w:r>
        <w:rPr>
          <w:rFonts w:hint="eastAsia" w:ascii="楷体" w:hAnsi="楷体" w:eastAsia="楷体" w:cs="楷体"/>
          <w:kern w:val="2"/>
          <w:sz w:val="24"/>
          <w:szCs w:val="24"/>
          <w:lang w:val="en-US" w:eastAsia="zh-CN" w:bidi="ar-SA"/>
        </w:rPr>
        <w:t>通知书发出之后7个日历天内，以银行转账或银行保函（限定出具保函的机构为全国性股份制银行、海南区域股份制银行，可线上验真，保函性质为见索即付，争议解决地在海南洋浦陆海国际贸易有限公司所在地，保函有效期间要覆盖至项目供应完毕且验收完毕）形式缴纳履约保证金，作为乙方诚信、全面、正确履行全部合同义务的保证，如发生违约扣款情况，甲方就收取的履约保证金在乙方供货完毕且办理完总结算签字确认后30个工作日内，扣除违约金无息返还；如有其他情况，双方协商确定返还时间。</w:t>
      </w:r>
    </w:p>
    <w:p>
      <w:pPr>
        <w:pStyle w:val="28"/>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br w:type="page"/>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附件一：</w:t>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3092" w:firstLineChars="700"/>
        <w:jc w:val="both"/>
        <w:textAlignment w:val="auto"/>
        <w:rPr>
          <w:rFonts w:hint="eastAsia" w:ascii="楷体" w:hAnsi="楷体" w:eastAsia="楷体" w:cs="楷体"/>
          <w:sz w:val="24"/>
          <w:szCs w:val="24"/>
        </w:rPr>
      </w:pPr>
      <w:r>
        <w:rPr>
          <w:rFonts w:hint="eastAsia" w:ascii="仿宋" w:hAnsi="仿宋" w:eastAsia="仿宋" w:cs="Times New Roman"/>
          <w:b/>
          <w:bCs/>
          <w:kern w:val="2"/>
          <w:sz w:val="44"/>
          <w:szCs w:val="44"/>
          <w:lang w:val="en-US" w:eastAsia="zh-CN" w:bidi="ar-SA"/>
        </w:rPr>
        <w:t>报价承诺函</w:t>
      </w:r>
    </w:p>
    <w:p>
      <w:pPr>
        <w:pStyle w:val="6"/>
        <w:keepNext/>
        <w:keepLines/>
        <w:pageBreakBefore w:val="0"/>
        <w:widowControl w:val="0"/>
        <w:numPr>
          <w:ilvl w:val="0"/>
          <w:numId w:val="0"/>
        </w:numPr>
        <w:kinsoku/>
        <w:wordWrap/>
        <w:overflowPunct/>
        <w:topLinePunct w:val="0"/>
        <w:autoSpaceDE/>
        <w:autoSpaceDN/>
        <w:bidi w:val="0"/>
        <w:adjustRightInd/>
        <w:snapToGrid/>
        <w:spacing w:before="313" w:beforeLines="100" w:after="0" w:line="240" w:lineRule="auto"/>
        <w:jc w:val="both"/>
        <w:textAlignment w:val="auto"/>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海南洋浦陆海国际贸易有限公司：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 xml:space="preserve">    我单位对贵单位所发的</w:t>
      </w:r>
      <w:r>
        <w:rPr>
          <w:rFonts w:hint="eastAsia" w:ascii="楷体" w:hAnsi="楷体" w:eastAsia="楷体" w:cs="楷体"/>
          <w:bCs/>
          <w:sz w:val="24"/>
          <w:szCs w:val="24"/>
          <w:lang w:val="en-US" w:eastAsia="zh-CN"/>
        </w:rPr>
        <w:t>公开询价报价</w:t>
      </w:r>
      <w:r>
        <w:rPr>
          <w:rFonts w:hint="eastAsia" w:ascii="楷体" w:hAnsi="楷体" w:eastAsia="楷体" w:cs="楷体"/>
          <w:bCs/>
          <w:sz w:val="24"/>
          <w:szCs w:val="24"/>
        </w:rPr>
        <w:t>文件所有条款予以确认，并进一步承诺如下：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1、我单位所报的单价，已充分考虑了</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文件及采购合同要求</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单位应承担的所有义务及风险，由此造成或可能造成的费用我方已包含在报价中。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2、若我单位</w:t>
      </w:r>
      <w:r>
        <w:rPr>
          <w:rFonts w:hint="eastAsia" w:ascii="楷体" w:hAnsi="楷体" w:eastAsia="楷体" w:cs="楷体"/>
          <w:bCs/>
          <w:sz w:val="24"/>
          <w:szCs w:val="24"/>
          <w:lang w:eastAsia="zh-CN"/>
        </w:rPr>
        <w:t>成交</w:t>
      </w:r>
      <w:r>
        <w:rPr>
          <w:rFonts w:hint="eastAsia" w:ascii="楷体" w:hAnsi="楷体" w:eastAsia="楷体" w:cs="楷体"/>
          <w:bCs/>
          <w:sz w:val="24"/>
          <w:szCs w:val="24"/>
        </w:rPr>
        <w:t>，除非贵单位要求，我单位将不主动要求调整采购合同条款。否则，贵单位可以随时取消我单位的</w:t>
      </w:r>
      <w:r>
        <w:rPr>
          <w:rFonts w:hint="eastAsia" w:ascii="楷体" w:hAnsi="楷体" w:eastAsia="楷体" w:cs="楷体"/>
          <w:bCs/>
          <w:sz w:val="24"/>
          <w:szCs w:val="24"/>
          <w:lang w:eastAsia="zh-CN"/>
        </w:rPr>
        <w:t>成交</w:t>
      </w:r>
      <w:r>
        <w:rPr>
          <w:rFonts w:hint="eastAsia" w:ascii="楷体" w:hAnsi="楷体" w:eastAsia="楷体" w:cs="楷体"/>
          <w:bCs/>
          <w:sz w:val="24"/>
          <w:szCs w:val="24"/>
        </w:rPr>
        <w:t>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3、我单位承诺不会因贵方对采购合同中的承包范围的调整而产生的异议。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4、我单位的《</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承诺函》，将作为合同的组成部分。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5、若我单位没有</w:t>
      </w:r>
      <w:r>
        <w:rPr>
          <w:rFonts w:hint="eastAsia" w:ascii="楷体" w:hAnsi="楷体" w:eastAsia="楷体" w:cs="楷体"/>
          <w:bCs/>
          <w:sz w:val="24"/>
          <w:szCs w:val="24"/>
          <w:lang w:eastAsia="zh-CN"/>
        </w:rPr>
        <w:t>成交</w:t>
      </w:r>
      <w:r>
        <w:rPr>
          <w:rFonts w:hint="eastAsia" w:ascii="楷体" w:hAnsi="楷体" w:eastAsia="楷体" w:cs="楷体"/>
          <w:bCs/>
          <w:sz w:val="24"/>
          <w:szCs w:val="24"/>
        </w:rPr>
        <w:t>，我单位将不要求贵方做任何解释。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6</w:t>
      </w:r>
      <w:r>
        <w:rPr>
          <w:rFonts w:hint="eastAsia" w:ascii="楷体" w:hAnsi="楷体" w:eastAsia="楷体" w:cs="楷体"/>
          <w:bCs/>
          <w:sz w:val="24"/>
          <w:szCs w:val="24"/>
        </w:rPr>
        <w:t>、若我单位</w:t>
      </w:r>
      <w:r>
        <w:rPr>
          <w:rFonts w:hint="eastAsia" w:ascii="楷体" w:hAnsi="楷体" w:eastAsia="楷体" w:cs="楷体"/>
          <w:bCs/>
          <w:sz w:val="24"/>
          <w:szCs w:val="24"/>
          <w:lang w:eastAsia="zh-CN"/>
        </w:rPr>
        <w:t>成交</w:t>
      </w:r>
      <w:r>
        <w:rPr>
          <w:rFonts w:hint="eastAsia" w:ascii="楷体" w:hAnsi="楷体" w:eastAsia="楷体" w:cs="楷体"/>
          <w:bCs/>
          <w:sz w:val="24"/>
          <w:szCs w:val="24"/>
        </w:rPr>
        <w:t>，我单位同意本确认函及所有文件作为合同的组成部分，与供货合同具有同样的法律效力。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7</w:t>
      </w:r>
      <w:r>
        <w:rPr>
          <w:rFonts w:hint="eastAsia" w:ascii="楷体" w:hAnsi="楷体" w:eastAsia="楷体" w:cs="楷体"/>
          <w:bCs/>
          <w:sz w:val="24"/>
          <w:szCs w:val="24"/>
          <w:highlight w:val="none"/>
        </w:rPr>
        <w:t>、我单位将严格按照</w:t>
      </w:r>
      <w:r>
        <w:rPr>
          <w:rFonts w:hint="eastAsia" w:ascii="楷体" w:hAnsi="楷体" w:eastAsia="楷体" w:cs="楷体"/>
          <w:bCs/>
          <w:sz w:val="24"/>
          <w:szCs w:val="24"/>
          <w:highlight w:val="none"/>
          <w:lang w:eastAsia="zh-CN"/>
        </w:rPr>
        <w:t>贵单位</w:t>
      </w:r>
      <w:r>
        <w:rPr>
          <w:rFonts w:hint="eastAsia" w:ascii="楷体" w:hAnsi="楷体" w:eastAsia="楷体" w:cs="楷体"/>
          <w:bCs/>
          <w:sz w:val="24"/>
          <w:szCs w:val="24"/>
          <w:highlight w:val="none"/>
        </w:rPr>
        <w:t>的要求提供工程所需材料</w:t>
      </w:r>
      <w:r>
        <w:rPr>
          <w:rFonts w:hint="eastAsia" w:ascii="楷体" w:hAnsi="楷体" w:eastAsia="楷体" w:cs="楷体"/>
          <w:bCs/>
          <w:sz w:val="24"/>
          <w:szCs w:val="24"/>
          <w:highlight w:val="none"/>
          <w:lang w:eastAsia="zh-CN"/>
        </w:rPr>
        <w:t>及品牌要求</w:t>
      </w:r>
      <w:r>
        <w:rPr>
          <w:rFonts w:hint="eastAsia" w:ascii="楷体" w:hAnsi="楷体" w:eastAsia="楷体" w:cs="楷体"/>
          <w:bCs/>
          <w:sz w:val="24"/>
          <w:szCs w:val="24"/>
          <w:highlight w:val="none"/>
        </w:rPr>
        <w:t>，在供货过程中</w:t>
      </w:r>
      <w:r>
        <w:rPr>
          <w:rFonts w:hint="eastAsia" w:ascii="楷体" w:hAnsi="楷体" w:eastAsia="楷体" w:cs="楷体"/>
          <w:bCs/>
          <w:sz w:val="24"/>
          <w:szCs w:val="24"/>
          <w:highlight w:val="none"/>
          <w:lang w:eastAsia="zh-CN"/>
        </w:rPr>
        <w:t>确保材料复试检测合格，如</w:t>
      </w:r>
      <w:r>
        <w:rPr>
          <w:rFonts w:hint="eastAsia" w:ascii="楷体" w:hAnsi="楷体" w:eastAsia="楷体" w:cs="楷体"/>
          <w:bCs/>
          <w:sz w:val="24"/>
          <w:szCs w:val="24"/>
          <w:highlight w:val="none"/>
        </w:rPr>
        <w:t>出现质量问题我单位将及时调换合格材料进场，如因材料质量问题而造成工期延误，我单位承诺接受</w:t>
      </w:r>
      <w:r>
        <w:rPr>
          <w:rFonts w:hint="eastAsia" w:ascii="楷体" w:hAnsi="楷体" w:eastAsia="楷体" w:cs="楷体"/>
          <w:bCs/>
          <w:sz w:val="24"/>
          <w:szCs w:val="24"/>
          <w:highlight w:val="none"/>
          <w:lang w:val="en-US" w:eastAsia="zh-CN"/>
        </w:rPr>
        <w:t>按照合同违约条款进行处罚</w:t>
      </w:r>
      <w:r>
        <w:rPr>
          <w:rFonts w:hint="eastAsia" w:ascii="楷体" w:hAnsi="楷体" w:eastAsia="楷体" w:cs="楷体"/>
          <w:bCs/>
          <w:sz w:val="24"/>
          <w:szCs w:val="24"/>
          <w:highlight w:val="none"/>
        </w:rPr>
        <w:t>，在供货过程中保证供应材料为</w:t>
      </w:r>
      <w:r>
        <w:rPr>
          <w:rFonts w:hint="eastAsia" w:ascii="楷体" w:hAnsi="楷体" w:eastAsia="楷体" w:cs="楷体"/>
          <w:bCs/>
          <w:sz w:val="24"/>
          <w:szCs w:val="24"/>
          <w:highlight w:val="none"/>
          <w:lang w:eastAsia="zh-CN"/>
        </w:rPr>
        <w:t>询比价</w:t>
      </w:r>
      <w:r>
        <w:rPr>
          <w:rFonts w:hint="eastAsia" w:ascii="楷体" w:hAnsi="楷体" w:eastAsia="楷体" w:cs="楷体"/>
          <w:bCs/>
          <w:sz w:val="24"/>
          <w:szCs w:val="24"/>
          <w:highlight w:val="none"/>
        </w:rPr>
        <w:t>文件中要求的厂家生产的合格材料，各类质量资料随货同行，并保证各类质量资料真实有效。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8</w:t>
      </w:r>
      <w:r>
        <w:rPr>
          <w:rFonts w:hint="eastAsia" w:ascii="楷体" w:hAnsi="楷体" w:eastAsia="楷体" w:cs="楷体"/>
          <w:bCs/>
          <w:sz w:val="24"/>
          <w:szCs w:val="24"/>
          <w:highlight w:val="none"/>
        </w:rPr>
        <w:t>、在供应时间上将严格按项目要求时间组织材料进场，我单位的保证措施是根据进场时间和规格型号要求提前做好备料，确因某些型号材料短期缺货将积极配合项目与业主监理协商沟通进行替换。如因材料进场时间问题而造成工期延误，我单位承诺接受</w:t>
      </w:r>
      <w:r>
        <w:rPr>
          <w:rFonts w:hint="eastAsia" w:ascii="楷体" w:hAnsi="楷体" w:eastAsia="楷体" w:cs="楷体"/>
          <w:bCs/>
          <w:sz w:val="24"/>
          <w:szCs w:val="24"/>
          <w:highlight w:val="none"/>
          <w:lang w:val="en-US" w:eastAsia="zh-CN"/>
        </w:rPr>
        <w:t>按照合同违约条款进行处罚。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9</w:t>
      </w:r>
      <w:r>
        <w:rPr>
          <w:rFonts w:hint="eastAsia" w:ascii="楷体" w:hAnsi="楷体" w:eastAsia="楷体" w:cs="楷体"/>
          <w:bCs/>
          <w:sz w:val="24"/>
          <w:szCs w:val="24"/>
        </w:rPr>
        <w:t>、我单位将以良好的服务态度、饱满的工作热情和遵纪守法的工作作风做好对项目部的服务，认真履行项目部进场物资验收程序并积极配合进场物资的质量检查工作，让项目部满意，让贵司满意，让工程业主和监理满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0</w:t>
      </w:r>
      <w:r>
        <w:rPr>
          <w:rFonts w:hint="eastAsia" w:ascii="楷体" w:hAnsi="楷体" w:eastAsia="楷体" w:cs="楷体"/>
          <w:bCs/>
          <w:sz w:val="24"/>
          <w:szCs w:val="24"/>
        </w:rPr>
        <w:t>、我单位郑重承诺：我单位对</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单位提供的</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文件及合同条款完全接受和遵守。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1</w:t>
      </w:r>
      <w:r>
        <w:rPr>
          <w:rFonts w:hint="eastAsia" w:ascii="楷体" w:hAnsi="楷体" w:eastAsia="楷体" w:cs="楷体"/>
          <w:bCs/>
          <w:sz w:val="24"/>
          <w:szCs w:val="24"/>
        </w:rPr>
        <w:t>、我单位承诺同意按照贵单位要求办理结算及支付方式；承诺按所提供本单位银行开户许可证的开户行名称及帐号接收结算款，保证不使用委托收款。</w:t>
      </w:r>
    </w:p>
    <w:p>
      <w:pPr>
        <w:keepNext w:val="0"/>
        <w:keepLines w:val="0"/>
        <w:pageBreakBefore w:val="0"/>
        <w:widowControl w:val="0"/>
        <w:kinsoku/>
        <w:wordWrap/>
        <w:overflowPunct/>
        <w:topLinePunct w:val="0"/>
        <w:autoSpaceDE/>
        <w:autoSpaceDN/>
        <w:bidi w:val="0"/>
        <w:adjustRightInd/>
        <w:snapToGrid/>
        <w:spacing w:line="400" w:lineRule="exact"/>
        <w:ind w:firstLine="4524" w:firstLineChars="1885"/>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单位：（章）</w:t>
      </w:r>
    </w:p>
    <w:p>
      <w:pPr>
        <w:keepNext w:val="0"/>
        <w:keepLines w:val="0"/>
        <w:pageBreakBefore w:val="0"/>
        <w:widowControl w:val="0"/>
        <w:kinsoku/>
        <w:wordWrap/>
        <w:overflowPunct/>
        <w:topLinePunct w:val="0"/>
        <w:autoSpaceDE/>
        <w:autoSpaceDN/>
        <w:bidi w:val="0"/>
        <w:adjustRightInd/>
        <w:snapToGrid/>
        <w:spacing w:line="400" w:lineRule="exact"/>
        <w:ind w:firstLine="4560" w:firstLineChars="1900"/>
        <w:textAlignment w:val="auto"/>
        <w:rPr>
          <w:rFonts w:hint="eastAsia" w:ascii="楷体" w:hAnsi="楷体" w:eastAsia="楷体" w:cs="楷体"/>
          <w:bCs/>
          <w:sz w:val="24"/>
          <w:szCs w:val="24"/>
        </w:rPr>
      </w:pPr>
      <w:r>
        <w:rPr>
          <w:rFonts w:hint="eastAsia" w:ascii="楷体" w:hAnsi="楷体" w:eastAsia="楷体" w:cs="楷体"/>
          <w:bCs/>
          <w:sz w:val="24"/>
          <w:szCs w:val="24"/>
        </w:rPr>
        <w:t>法人代表：（章）</w:t>
      </w:r>
    </w:p>
    <w:p>
      <w:pPr>
        <w:keepNext w:val="0"/>
        <w:keepLines w:val="0"/>
        <w:pageBreakBefore w:val="0"/>
        <w:widowControl w:val="0"/>
        <w:kinsoku/>
        <w:wordWrap/>
        <w:overflowPunct/>
        <w:topLinePunct w:val="0"/>
        <w:autoSpaceDE/>
        <w:autoSpaceDN/>
        <w:bidi w:val="0"/>
        <w:adjustRightInd/>
        <w:snapToGrid/>
        <w:spacing w:line="400" w:lineRule="exact"/>
        <w:ind w:firstLine="4524" w:firstLineChars="1885"/>
        <w:textAlignment w:val="auto"/>
        <w:rPr>
          <w:rFonts w:hint="eastAsia" w:ascii="楷体" w:hAnsi="楷体" w:eastAsia="楷体" w:cs="楷体"/>
        </w:rPr>
      </w:pPr>
      <w:r>
        <w:rPr>
          <w:rFonts w:hint="eastAsia" w:ascii="楷体" w:hAnsi="楷体" w:eastAsia="楷体" w:cs="楷体"/>
          <w:bCs/>
          <w:sz w:val="24"/>
          <w:szCs w:val="24"/>
        </w:rPr>
        <w:t>日    期：</w:t>
      </w:r>
    </w:p>
    <w:p>
      <w:pPr>
        <w:rPr>
          <w:rFonts w:hint="eastAsia" w:ascii="楷体" w:hAnsi="楷体" w:eastAsia="楷体" w:cs="楷体"/>
        </w:rPr>
      </w:pPr>
    </w:p>
    <w:p>
      <w:pPr>
        <w:pStyle w:val="6"/>
        <w:numPr>
          <w:ilvl w:val="0"/>
          <w:numId w:val="0"/>
        </w:numPr>
        <w:spacing w:before="0" w:line="240" w:lineRule="auto"/>
        <w:ind w:leftChars="0"/>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附件二：</w:t>
      </w:r>
    </w:p>
    <w:p>
      <w:pPr>
        <w:pStyle w:val="6"/>
        <w:numPr>
          <w:ilvl w:val="0"/>
          <w:numId w:val="0"/>
        </w:numPr>
        <w:spacing w:before="0" w:line="240" w:lineRule="auto"/>
        <w:ind w:leftChars="0"/>
        <w:jc w:val="center"/>
        <w:rPr>
          <w:rFonts w:hint="eastAsia" w:ascii="楷体" w:hAnsi="楷体" w:eastAsia="楷体" w:cs="楷体"/>
          <w:sz w:val="24"/>
          <w:szCs w:val="24"/>
        </w:rPr>
      </w:pPr>
      <w:r>
        <w:rPr>
          <w:rFonts w:hint="eastAsia" w:ascii="楷体" w:hAnsi="楷体" w:eastAsia="楷体" w:cs="楷体"/>
          <w:sz w:val="24"/>
          <w:szCs w:val="24"/>
        </w:rPr>
        <w:t>法定代表人授权书</w:t>
      </w:r>
    </w:p>
    <w:p>
      <w:pPr>
        <w:adjustRightInd w:val="0"/>
        <w:snapToGrid w:val="0"/>
        <w:spacing w:line="480" w:lineRule="auto"/>
        <w:rPr>
          <w:rFonts w:hint="eastAsia" w:ascii="楷体" w:hAnsi="楷体" w:eastAsia="楷体" w:cs="楷体"/>
          <w:sz w:val="24"/>
          <w:szCs w:val="24"/>
          <w:lang w:val="en-US" w:eastAsia="zh-CN"/>
        </w:rPr>
      </w:pPr>
      <w:r>
        <w:rPr>
          <w:rFonts w:hint="eastAsia" w:ascii="楷体" w:hAnsi="楷体" w:eastAsia="楷体" w:cs="楷体"/>
          <w:sz w:val="24"/>
          <w:szCs w:val="24"/>
        </w:rPr>
        <w:t>致：</w:t>
      </w:r>
      <w:r>
        <w:rPr>
          <w:rFonts w:hint="eastAsia" w:ascii="楷体" w:hAnsi="楷体" w:eastAsia="楷体" w:cs="楷体"/>
          <w:sz w:val="24"/>
          <w:szCs w:val="24"/>
          <w:lang w:val="en-US" w:eastAsia="zh-CN"/>
        </w:rPr>
        <w:t>海南洋浦陆海国际贸易有限公司</w:t>
      </w:r>
    </w:p>
    <w:p>
      <w:pPr>
        <w:snapToGrid w:val="0"/>
        <w:spacing w:line="48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本授权书声明：位于</w:t>
      </w:r>
      <w:r>
        <w:rPr>
          <w:rFonts w:hint="eastAsia" w:ascii="楷体" w:hAnsi="楷体" w:eastAsia="楷体" w:cs="楷体"/>
          <w:sz w:val="24"/>
          <w:szCs w:val="24"/>
          <w:u w:val="single"/>
        </w:rPr>
        <w:t xml:space="preserve">（公司地址）               </w:t>
      </w:r>
      <w:r>
        <w:rPr>
          <w:rFonts w:hint="eastAsia" w:ascii="楷体" w:hAnsi="楷体" w:eastAsia="楷体" w:cs="楷体"/>
          <w:sz w:val="24"/>
          <w:szCs w:val="24"/>
        </w:rPr>
        <w:t>的</w:t>
      </w:r>
      <w:r>
        <w:rPr>
          <w:rFonts w:hint="eastAsia" w:ascii="楷体" w:hAnsi="楷体" w:eastAsia="楷体" w:cs="楷体"/>
          <w:sz w:val="24"/>
          <w:szCs w:val="24"/>
          <w:u w:val="single"/>
        </w:rPr>
        <w:t xml:space="preserve">（公司名称）    </w:t>
      </w:r>
      <w:r>
        <w:rPr>
          <w:rFonts w:hint="eastAsia" w:ascii="楷体" w:hAnsi="楷体" w:eastAsia="楷体" w:cs="楷体"/>
          <w:sz w:val="24"/>
          <w:szCs w:val="24"/>
        </w:rPr>
        <w:t>的</w:t>
      </w:r>
      <w:r>
        <w:rPr>
          <w:rFonts w:hint="eastAsia" w:ascii="楷体" w:hAnsi="楷体" w:eastAsia="楷体" w:cs="楷体"/>
          <w:sz w:val="24"/>
          <w:szCs w:val="24"/>
          <w:u w:val="single"/>
        </w:rPr>
        <w:t xml:space="preserve">（法定代表人姓名）      </w:t>
      </w:r>
      <w:r>
        <w:rPr>
          <w:rFonts w:hint="eastAsia" w:ascii="楷体" w:hAnsi="楷体" w:eastAsia="楷体" w:cs="楷体"/>
          <w:sz w:val="24"/>
          <w:szCs w:val="24"/>
        </w:rPr>
        <w:t>代表本公司授权</w:t>
      </w:r>
      <w:r>
        <w:rPr>
          <w:rFonts w:hint="eastAsia" w:ascii="楷体" w:hAnsi="楷体" w:eastAsia="楷体" w:cs="楷体"/>
          <w:sz w:val="24"/>
          <w:szCs w:val="24"/>
          <w:u w:val="single"/>
        </w:rPr>
        <w:t xml:space="preserve">（被授权人姓名）      </w:t>
      </w:r>
      <w:r>
        <w:rPr>
          <w:rFonts w:hint="eastAsia" w:ascii="楷体" w:hAnsi="楷体" w:eastAsia="楷体" w:cs="楷体"/>
          <w:sz w:val="24"/>
          <w:szCs w:val="24"/>
        </w:rPr>
        <w:t>为本公司的唯一合法代理人，代表本公司参加</w:t>
      </w:r>
      <w:r>
        <w:rPr>
          <w:rFonts w:hint="eastAsia" w:ascii="楷体" w:hAnsi="楷体" w:eastAsia="楷体" w:cs="楷体"/>
          <w:sz w:val="24"/>
          <w:szCs w:val="24"/>
          <w:lang w:val="en-US" w:eastAsia="zh-CN"/>
        </w:rPr>
        <w:t>海南洋浦陆海国际贸易有限公司</w:t>
      </w:r>
      <w:r>
        <w:rPr>
          <w:rFonts w:hint="eastAsia" w:ascii="楷体" w:hAnsi="楷体" w:eastAsia="楷体" w:cs="楷体"/>
          <w:sz w:val="24"/>
          <w:szCs w:val="24"/>
          <w:u w:val="single"/>
          <w:lang w:val="en-US" w:eastAsia="zh-CN"/>
        </w:rPr>
        <w:t>加气块</w:t>
      </w:r>
      <w:r>
        <w:rPr>
          <w:rFonts w:hint="eastAsia" w:ascii="楷体" w:hAnsi="楷体" w:eastAsia="楷体" w:cs="楷体"/>
          <w:sz w:val="24"/>
          <w:szCs w:val="24"/>
        </w:rPr>
        <w:t>采购</w:t>
      </w:r>
      <w:r>
        <w:rPr>
          <w:rFonts w:hint="eastAsia" w:ascii="楷体" w:hAnsi="楷体" w:eastAsia="楷体" w:cs="楷体"/>
          <w:sz w:val="24"/>
          <w:szCs w:val="24"/>
          <w:lang w:eastAsia="zh-CN"/>
        </w:rPr>
        <w:t>公开询价报价</w:t>
      </w:r>
      <w:r>
        <w:rPr>
          <w:rFonts w:hint="eastAsia" w:ascii="楷体" w:hAnsi="楷体" w:eastAsia="楷体" w:cs="楷体"/>
          <w:sz w:val="24"/>
          <w:szCs w:val="24"/>
        </w:rPr>
        <w:t>活动，并在整个</w:t>
      </w:r>
      <w:r>
        <w:rPr>
          <w:rFonts w:hint="eastAsia" w:ascii="楷体" w:hAnsi="楷体" w:eastAsia="楷体" w:cs="楷体"/>
          <w:sz w:val="24"/>
          <w:szCs w:val="24"/>
          <w:lang w:eastAsia="zh-CN"/>
        </w:rPr>
        <w:t>公开询价报价</w:t>
      </w:r>
      <w:r>
        <w:rPr>
          <w:rFonts w:hint="eastAsia" w:ascii="楷体" w:hAnsi="楷体" w:eastAsia="楷体" w:cs="楷体"/>
          <w:sz w:val="24"/>
          <w:szCs w:val="24"/>
        </w:rPr>
        <w:t>采购活动中，以本公司名义全权处理包括递交企业和产品资质材料，确认相关信息，</w:t>
      </w:r>
      <w:r>
        <w:rPr>
          <w:rFonts w:hint="eastAsia" w:ascii="楷体" w:hAnsi="楷体" w:eastAsia="楷体" w:cs="楷体"/>
          <w:sz w:val="24"/>
          <w:szCs w:val="24"/>
          <w:lang w:eastAsia="zh-CN"/>
        </w:rPr>
        <w:t xml:space="preserve"> </w:t>
      </w:r>
      <w:r>
        <w:rPr>
          <w:rFonts w:hint="eastAsia" w:ascii="楷体" w:hAnsi="楷体" w:eastAsia="楷体" w:cs="楷体"/>
          <w:sz w:val="24"/>
          <w:szCs w:val="24"/>
        </w:rPr>
        <w:t>产品报价、议价，交纳相关费用，签订采购合同，执行和完成采购周期内的售后服务等一切与之有关的事务，并保证所提供的资质证明材料真实、合法、完整、有效。</w:t>
      </w:r>
    </w:p>
    <w:p>
      <w:pPr>
        <w:snapToGrid w:val="0"/>
        <w:spacing w:line="480" w:lineRule="auto"/>
        <w:ind w:firstLine="584"/>
        <w:jc w:val="left"/>
        <w:rPr>
          <w:rFonts w:hint="eastAsia" w:ascii="楷体" w:hAnsi="楷体" w:eastAsia="楷体" w:cs="楷体"/>
          <w:sz w:val="24"/>
          <w:szCs w:val="24"/>
        </w:rPr>
      </w:pPr>
    </w:p>
    <w:p>
      <w:pPr>
        <w:snapToGrid w:val="0"/>
        <w:spacing w:line="480" w:lineRule="auto"/>
        <w:ind w:firstLine="600" w:firstLineChars="250"/>
        <w:rPr>
          <w:rFonts w:hint="eastAsia" w:ascii="楷体" w:hAnsi="楷体" w:eastAsia="楷体" w:cs="楷体"/>
          <w:sz w:val="24"/>
          <w:szCs w:val="24"/>
        </w:rPr>
      </w:pPr>
      <w:r>
        <w:rPr>
          <w:rFonts w:hint="eastAsia" w:ascii="楷体" w:hAnsi="楷体" w:eastAsia="楷体" w:cs="楷体"/>
          <w:sz w:val="24"/>
          <w:szCs w:val="24"/>
        </w:rPr>
        <w:t xml:space="preserve">本授权书于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年   月   日签字生效，特此声明。</w:t>
      </w:r>
    </w:p>
    <w:p>
      <w:pPr>
        <w:spacing w:line="480" w:lineRule="auto"/>
        <w:ind w:firstLine="616" w:firstLineChars="257"/>
        <w:rPr>
          <w:rFonts w:hint="eastAsia" w:ascii="楷体" w:hAnsi="楷体" w:eastAsia="楷体" w:cs="楷体"/>
          <w:sz w:val="24"/>
          <w:szCs w:val="24"/>
        </w:rPr>
      </w:pPr>
      <w:r>
        <w:rPr>
          <w:rFonts w:hint="eastAsia" w:ascii="楷体" w:hAnsi="楷体" w:eastAsia="楷体" w:cs="楷体"/>
          <w:sz w:val="24"/>
          <w:szCs w:val="24"/>
        </w:rPr>
        <w:t>授权期限为：   年   月   日起至本次采购期结束。授权期限内无特殊情况不变更合法代理人（被授权人）。</w:t>
      </w:r>
    </w:p>
    <w:p>
      <w:pPr>
        <w:snapToGrid w:val="0"/>
        <w:spacing w:line="480" w:lineRule="auto"/>
        <w:ind w:firstLine="480" w:firstLineChars="200"/>
        <w:jc w:val="center"/>
        <w:rPr>
          <w:rFonts w:hint="eastAsia" w:ascii="楷体" w:hAnsi="楷体" w:eastAsia="楷体" w:cs="楷体"/>
          <w:sz w:val="24"/>
          <w:szCs w:val="24"/>
        </w:rPr>
      </w:pPr>
      <w:r>
        <w:rPr>
          <w:rFonts w:hint="eastAsia" w:ascii="楷体" w:hAnsi="楷体" w:eastAsia="楷体" w:cs="楷体"/>
          <w:sz w:val="24"/>
          <w:szCs w:val="24"/>
        </w:rPr>
        <w:t xml:space="preserve"> </w:t>
      </w:r>
    </w:p>
    <w:p>
      <w:pPr>
        <w:snapToGrid w:val="0"/>
        <w:spacing w:line="480" w:lineRule="auto"/>
        <w:ind w:firstLine="480" w:firstLineChars="200"/>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法定代表人(签字)</w:t>
      </w:r>
      <w:r>
        <w:rPr>
          <w:rFonts w:hint="eastAsia" w:ascii="楷体" w:hAnsi="楷体" w:eastAsia="楷体" w:cs="楷体"/>
          <w:sz w:val="24"/>
          <w:szCs w:val="24"/>
          <w:lang w:eastAsia="zh-CN"/>
        </w:rPr>
        <w:t>：</w:t>
      </w:r>
    </w:p>
    <w:p>
      <w:pPr>
        <w:snapToGrid w:val="0"/>
        <w:spacing w:line="480" w:lineRule="auto"/>
        <w:ind w:firstLine="480" w:firstLineChars="20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被授权人(签字)</w:t>
      </w:r>
      <w:r>
        <w:rPr>
          <w:rFonts w:hint="eastAsia" w:ascii="楷体" w:hAnsi="楷体" w:eastAsia="楷体" w:cs="楷体"/>
          <w:sz w:val="24"/>
          <w:szCs w:val="24"/>
          <w:lang w:val="en-US" w:eastAsia="zh-CN"/>
        </w:rPr>
        <w:t>：</w:t>
      </w:r>
    </w:p>
    <w:p>
      <w:pPr>
        <w:snapToGrid w:val="0"/>
        <w:spacing w:line="480" w:lineRule="auto"/>
        <w:ind w:firstLine="480" w:firstLineChars="200"/>
        <w:jc w:val="center"/>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授权单位名称（盖章）</w:t>
      </w:r>
    </w:p>
    <w:p>
      <w:pPr>
        <w:snapToGrid w:val="0"/>
        <w:spacing w:line="480" w:lineRule="auto"/>
        <w:ind w:firstLine="480" w:firstLineChars="200"/>
        <w:rPr>
          <w:rFonts w:hint="eastAsia" w:ascii="楷体" w:hAnsi="楷体" w:eastAsia="楷体" w:cs="楷体"/>
          <w:sz w:val="24"/>
          <w:szCs w:val="24"/>
          <w:lang w:eastAsia="zh-CN"/>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联系电话</w:t>
      </w:r>
      <w:r>
        <w:rPr>
          <w:rFonts w:hint="eastAsia" w:ascii="楷体" w:hAnsi="楷体" w:eastAsia="楷体" w:cs="楷体"/>
          <w:sz w:val="24"/>
          <w:szCs w:val="24"/>
          <w:lang w:eastAsia="zh-CN"/>
        </w:rPr>
        <w:t>：</w:t>
      </w:r>
    </w:p>
    <w:p>
      <w:pPr>
        <w:pStyle w:val="8"/>
        <w:ind w:firstLine="0"/>
        <w:rPr>
          <w:rFonts w:hint="eastAsia"/>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楷体" w:hAnsi="楷体" w:eastAsia="楷体" w:cs="楷体"/>
          <w:lang w:val="en-US" w:eastAsia="zh-CN"/>
        </w:rPr>
      </w:pPr>
    </w:p>
    <w:p>
      <w:pPr>
        <w:rPr>
          <w:rFonts w:hint="eastAsia"/>
          <w:lang w:val="en-US"/>
        </w:rPr>
      </w:pPr>
    </w:p>
    <w:p>
      <w:pPr>
        <w:rPr>
          <w:rFonts w:hint="eastAsia"/>
          <w:lang w:val="en-US"/>
        </w:rPr>
      </w:pPr>
    </w:p>
    <w:p>
      <w:pPr>
        <w:rPr>
          <w:rFonts w:hint="eastAsia"/>
          <w:lang w:val="en-US"/>
        </w:rPr>
      </w:pP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kern w:val="2"/>
          <w:sz w:val="24"/>
          <w:szCs w:val="24"/>
          <w:lang w:val="en-US" w:eastAsia="zh-CN" w:bidi="ar-SA"/>
        </w:rPr>
      </w:pP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kern w:val="2"/>
          <w:sz w:val="24"/>
          <w:szCs w:val="24"/>
          <w:lang w:val="en-US" w:eastAsia="zh-CN" w:bidi="ar-SA"/>
        </w:rPr>
      </w:pPr>
    </w:p>
    <w:p>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
          <w:bCs w:val="0"/>
          <w:sz w:val="24"/>
          <w:szCs w:val="24"/>
          <w:lang w:val="en-US" w:eastAsia="zh-CN"/>
        </w:rPr>
      </w:pPr>
      <w:r>
        <w:rPr>
          <w:rFonts w:hint="eastAsia" w:ascii="楷体" w:hAnsi="楷体" w:eastAsia="楷体" w:cs="楷体"/>
          <w:b/>
          <w:bCs/>
          <w:kern w:val="2"/>
          <w:sz w:val="24"/>
          <w:szCs w:val="24"/>
          <w:lang w:val="en-US" w:eastAsia="zh-CN" w:bidi="ar-SA"/>
        </w:rPr>
        <w:t>附件三：</w:t>
      </w:r>
      <w:r>
        <w:rPr>
          <w:rFonts w:hint="eastAsia" w:ascii="楷体" w:hAnsi="楷体" w:eastAsia="楷体" w:cs="楷体"/>
          <w:b/>
          <w:bCs w:val="0"/>
          <w:sz w:val="24"/>
          <w:szCs w:val="24"/>
          <w:lang w:val="en-US" w:eastAsia="zh-CN"/>
        </w:rPr>
        <w:t>无重大违法记录声明函</w:t>
      </w:r>
      <w:r>
        <w:rPr>
          <w:rFonts w:hint="eastAsia" w:ascii="楷体" w:hAnsi="楷体" w:eastAsia="楷体" w:cs="楷体"/>
          <w:b/>
          <w:bCs w:val="0"/>
          <w:sz w:val="24"/>
          <w:szCs w:val="24"/>
          <w:lang w:val="en-US" w:eastAsia="zh-CN"/>
        </w:rPr>
        <w:br w:type="textWrapping"/>
      </w:r>
    </w:p>
    <w:p>
      <w:pPr>
        <w:pStyle w:val="28"/>
        <w:spacing w:line="360" w:lineRule="auto"/>
        <w:ind w:firstLine="0" w:firstLineChars="0"/>
        <w:jc w:val="center"/>
        <w:rPr>
          <w:rFonts w:hint="eastAsia" w:ascii="楷体" w:hAnsi="楷体" w:eastAsia="楷体" w:cs="楷体"/>
          <w:b/>
          <w:bCs/>
          <w:kern w:val="44"/>
          <w:sz w:val="32"/>
          <w:szCs w:val="32"/>
        </w:rPr>
      </w:pPr>
    </w:p>
    <w:p>
      <w:pPr>
        <w:pStyle w:val="28"/>
        <w:spacing w:line="360" w:lineRule="auto"/>
        <w:ind w:firstLine="0" w:firstLineChars="0"/>
        <w:jc w:val="center"/>
        <w:rPr>
          <w:rFonts w:hint="eastAsia" w:ascii="楷体" w:hAnsi="楷体" w:eastAsia="楷体" w:cs="楷体"/>
          <w:b/>
          <w:bCs/>
          <w:kern w:val="44"/>
          <w:sz w:val="32"/>
          <w:szCs w:val="32"/>
        </w:rPr>
      </w:pPr>
      <w:r>
        <w:rPr>
          <w:rFonts w:hint="eastAsia" w:ascii="楷体" w:hAnsi="楷体" w:eastAsia="楷体" w:cs="楷体"/>
          <w:b/>
          <w:bCs/>
          <w:kern w:val="44"/>
          <w:sz w:val="32"/>
          <w:szCs w:val="32"/>
        </w:rPr>
        <w:t>声明函</w:t>
      </w:r>
    </w:p>
    <w:p>
      <w:pPr>
        <w:pStyle w:val="28"/>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海南洋浦陆海国际贸易有限公司 ：</w:t>
      </w:r>
    </w:p>
    <w:p>
      <w:pPr>
        <w:pStyle w:val="28"/>
        <w:spacing w:line="360" w:lineRule="auto"/>
        <w:ind w:firstLine="48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我司承诺近三年内在政府采购和招投标活动中没有重大违法记录，或严重违约或重大工程质量问题。</w:t>
      </w:r>
    </w:p>
    <w:p>
      <w:pPr>
        <w:pStyle w:val="28"/>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28"/>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28"/>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28"/>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37"/>
        <w:spacing w:line="360" w:lineRule="auto"/>
        <w:ind w:firstLine="1200" w:firstLineChars="500"/>
        <w:jc w:val="center"/>
        <w:rPr>
          <w:rFonts w:hint="eastAsia" w:ascii="楷体" w:hAnsi="楷体" w:eastAsia="楷体" w:cs="楷体"/>
          <w:kern w:val="2"/>
          <w:sz w:val="24"/>
          <w:szCs w:val="24"/>
          <w:lang w:val="en-US" w:eastAsia="zh-CN" w:bidi="ar-SA"/>
        </w:rPr>
      </w:pPr>
      <w:r>
        <w:rPr>
          <w:rFonts w:hint="eastAsia" w:ascii="仿宋" w:hAnsi="仿宋" w:eastAsia="仿宋"/>
          <w:sz w:val="24"/>
          <w:szCs w:val="24"/>
        </w:rPr>
        <w:t xml:space="preserve">                        </w:t>
      </w:r>
      <w:r>
        <w:rPr>
          <w:rFonts w:hint="eastAsia" w:ascii="楷体" w:hAnsi="楷体" w:eastAsia="楷体" w:cs="楷体"/>
          <w:kern w:val="2"/>
          <w:sz w:val="24"/>
          <w:szCs w:val="24"/>
          <w:lang w:val="en-US" w:eastAsia="zh-CN" w:bidi="ar-SA"/>
        </w:rPr>
        <w:t xml:space="preserve">报价单位： </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lang w:val="en-US" w:eastAsia="zh-CN" w:bidi="ar-SA"/>
        </w:rPr>
        <w:t>（盖单位章）</w:t>
      </w:r>
    </w:p>
    <w:p>
      <w:pPr>
        <w:pStyle w:val="37"/>
        <w:spacing w:line="360" w:lineRule="auto"/>
        <w:ind w:firstLine="1200" w:firstLineChars="500"/>
        <w:jc w:val="righ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 </w:t>
      </w:r>
    </w:p>
    <w:p>
      <w:pPr>
        <w:pStyle w:val="37"/>
        <w:spacing w:line="360" w:lineRule="auto"/>
        <w:ind w:firstLine="1200" w:firstLineChars="50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                      法定代表人或其被授权人：</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lang w:val="en-US" w:eastAsia="zh-CN" w:bidi="ar-SA"/>
        </w:rPr>
        <w:t>（签字）</w:t>
      </w:r>
    </w:p>
    <w:p>
      <w:pPr>
        <w:pStyle w:val="37"/>
        <w:spacing w:line="360" w:lineRule="auto"/>
        <w:ind w:firstLine="482"/>
        <w:jc w:val="righ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 </w:t>
      </w:r>
    </w:p>
    <w:p>
      <w:pPr>
        <w:pStyle w:val="37"/>
        <w:spacing w:line="360" w:lineRule="auto"/>
        <w:ind w:firstLine="482"/>
        <w:jc w:val="righ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 年    月    日</w:t>
      </w:r>
    </w:p>
    <w:p>
      <w:pPr>
        <w:pStyle w:val="28"/>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28"/>
        <w:spacing w:line="360" w:lineRule="auto"/>
        <w:ind w:firstLine="0" w:firstLineChars="0"/>
        <w:jc w:val="left"/>
        <w:rPr>
          <w:rFonts w:ascii="仿宋" w:hAnsi="仿宋" w:eastAsia="仿宋"/>
          <w:kern w:val="44"/>
          <w:sz w:val="24"/>
          <w:szCs w:val="24"/>
        </w:rPr>
      </w:pPr>
      <w:r>
        <w:rPr>
          <w:rFonts w:hint="eastAsia" w:ascii="仿宋" w:hAnsi="仿宋" w:eastAsia="仿宋"/>
          <w:kern w:val="44"/>
          <w:sz w:val="24"/>
          <w:szCs w:val="24"/>
        </w:rPr>
        <w:t xml:space="preserve"> </w:t>
      </w:r>
    </w:p>
    <w:p>
      <w:pPr>
        <w:pStyle w:val="28"/>
        <w:spacing w:line="360" w:lineRule="auto"/>
        <w:ind w:firstLine="0" w:firstLineChars="0"/>
        <w:jc w:val="left"/>
        <w:rPr>
          <w:rFonts w:hint="eastAsia" w:ascii="仿宋" w:hAnsi="仿宋" w:eastAsia="仿宋"/>
          <w:kern w:val="44"/>
          <w:sz w:val="24"/>
          <w:szCs w:val="24"/>
        </w:rPr>
      </w:pPr>
    </w:p>
    <w:p>
      <w:pPr>
        <w:pStyle w:val="28"/>
        <w:spacing w:line="360" w:lineRule="auto"/>
        <w:ind w:firstLine="0" w:firstLineChars="0"/>
        <w:jc w:val="left"/>
        <w:rPr>
          <w:rFonts w:hint="eastAsia" w:ascii="仿宋" w:hAnsi="仿宋" w:eastAsia="仿宋"/>
          <w:kern w:val="44"/>
          <w:sz w:val="24"/>
          <w:szCs w:val="24"/>
        </w:rPr>
      </w:pP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kern w:val="2"/>
          <w:sz w:val="24"/>
          <w:szCs w:val="24"/>
          <w:lang w:val="en-US" w:eastAsia="zh-CN" w:bidi="ar-SA"/>
        </w:rPr>
      </w:pPr>
    </w:p>
    <w:p>
      <w:pPr>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br w:type="page"/>
      </w:r>
    </w:p>
    <w:p>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附件四：报价单位认为需要提供的其他文件（格式自拟）</w:t>
      </w:r>
    </w:p>
    <w:p>
      <w:pPr>
        <w:rPr>
          <w:rFonts w:hint="eastAsia"/>
          <w:lang w:val="en-US"/>
        </w:rPr>
      </w:pPr>
    </w:p>
    <w:sectPr>
      <w:pgSz w:w="11906" w:h="16838"/>
      <w:pgMar w:top="1440" w:right="850" w:bottom="124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E8CE1"/>
    <w:multiLevelType w:val="singleLevel"/>
    <w:tmpl w:val="193E8CE1"/>
    <w:lvl w:ilvl="0" w:tentative="0">
      <w:start w:val="1"/>
      <w:numFmt w:val="decimal"/>
      <w:suff w:val="nothing"/>
      <w:lvlText w:val="%1、"/>
      <w:lvlJc w:val="left"/>
    </w:lvl>
  </w:abstractNum>
  <w:abstractNum w:abstractNumId="1">
    <w:nsid w:val="41483988"/>
    <w:multiLevelType w:val="multilevel"/>
    <w:tmpl w:val="41483988"/>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831198"/>
    <w:multiLevelType w:val="multilevel"/>
    <w:tmpl w:val="55831198"/>
    <w:lvl w:ilvl="0" w:tentative="0">
      <w:start w:val="1"/>
      <w:numFmt w:val="decimal"/>
      <w:lvlText w:val="%1"/>
      <w:lvlJc w:val="left"/>
      <w:pPr>
        <w:ind w:left="425" w:hanging="425"/>
      </w:pPr>
      <w:rPr>
        <w:rFonts w:hint="default" w:ascii="Times New Roman" w:hAnsi="Times New Roman" w:cs="Times New Roman"/>
        <w:sz w:val="24"/>
        <w:szCs w:val="24"/>
      </w:rPr>
    </w:lvl>
    <w:lvl w:ilvl="1" w:tentative="0">
      <w:start w:val="1"/>
      <w:numFmt w:val="decimal"/>
      <w:suff w:val="space"/>
      <w:lvlText w:val="%1.%2"/>
      <w:lvlJc w:val="left"/>
      <w:pPr>
        <w:ind w:left="1843" w:hanging="425"/>
      </w:pPr>
      <w:rPr>
        <w:rFonts w:hint="default" w:ascii="Times New Roman" w:hAnsi="Times New Roman" w:cs="Times New Roman"/>
        <w:sz w:val="24"/>
        <w:szCs w:val="24"/>
      </w:rPr>
    </w:lvl>
    <w:lvl w:ilvl="2" w:tentative="0">
      <w:start w:val="1"/>
      <w:numFmt w:val="decimal"/>
      <w:lvlText w:val="%1.%2.%3"/>
      <w:lvlJc w:val="left"/>
      <w:pPr>
        <w:ind w:left="1275" w:hanging="425"/>
      </w:pPr>
      <w:rPr>
        <w:rFonts w:hint="default" w:ascii="Times New Roman" w:hAnsi="Times New Roman" w:cs="Times New Roman"/>
      </w:rPr>
    </w:lvl>
    <w:lvl w:ilvl="3" w:tentative="0">
      <w:start w:val="1"/>
      <w:numFmt w:val="decimal"/>
      <w:lvlText w:val="%1.%2.%3.%4"/>
      <w:lvlJc w:val="left"/>
      <w:pPr>
        <w:ind w:left="1700" w:hanging="425"/>
      </w:pPr>
      <w:rPr>
        <w:rFonts w:hint="default" w:ascii="Times New Roman" w:hAnsi="Times New Roman" w:cs="Times New Roman"/>
      </w:rPr>
    </w:lvl>
    <w:lvl w:ilvl="4" w:tentative="0">
      <w:start w:val="1"/>
      <w:numFmt w:val="decimal"/>
      <w:lvlText w:val="%1.%2.%3.%4.%5"/>
      <w:lvlJc w:val="left"/>
      <w:pPr>
        <w:ind w:left="2125" w:hanging="425"/>
      </w:pPr>
      <w:rPr>
        <w:rFonts w:hint="default" w:ascii="Times New Roman" w:hAnsi="Times New Roman" w:cs="Times New Roman"/>
      </w:rPr>
    </w:lvl>
    <w:lvl w:ilvl="5" w:tentative="0">
      <w:start w:val="1"/>
      <w:numFmt w:val="decimal"/>
      <w:lvlText w:val="%1.%2.%3.%4.%5.%6"/>
      <w:lvlJc w:val="left"/>
      <w:pPr>
        <w:ind w:left="2550" w:hanging="425"/>
      </w:pPr>
      <w:rPr>
        <w:rFonts w:hint="default" w:ascii="Times New Roman" w:hAnsi="Times New Roman" w:cs="Times New Roman"/>
      </w:rPr>
    </w:lvl>
    <w:lvl w:ilvl="6" w:tentative="0">
      <w:start w:val="1"/>
      <w:numFmt w:val="decimal"/>
      <w:lvlText w:val="%1.%2.%3.%4.%5.%6.%7"/>
      <w:lvlJc w:val="left"/>
      <w:pPr>
        <w:ind w:left="2975" w:hanging="425"/>
      </w:pPr>
      <w:rPr>
        <w:rFonts w:hint="default" w:ascii="Times New Roman" w:hAnsi="Times New Roman" w:cs="Times New Roman"/>
      </w:rPr>
    </w:lvl>
    <w:lvl w:ilvl="7" w:tentative="0">
      <w:start w:val="1"/>
      <w:numFmt w:val="decimal"/>
      <w:lvlText w:val="%1.%2.%3.%4.%5.%6.%7.%8"/>
      <w:lvlJc w:val="left"/>
      <w:pPr>
        <w:ind w:left="3400" w:hanging="425"/>
      </w:pPr>
      <w:rPr>
        <w:rFonts w:hint="default" w:ascii="Times New Roman" w:hAnsi="Times New Roman" w:cs="Times New Roman"/>
      </w:rPr>
    </w:lvl>
    <w:lvl w:ilvl="8" w:tentative="0">
      <w:start w:val="1"/>
      <w:numFmt w:val="decimal"/>
      <w:lvlText w:val="%1.%2.%3.%4.%5.%6.%7.%8.%9"/>
      <w:lvlJc w:val="left"/>
      <w:pPr>
        <w:ind w:left="3825" w:hanging="425"/>
      </w:pPr>
      <w:rPr>
        <w:rFonts w:hint="default" w:ascii="Times New Roman" w:hAnsi="Times New Roman" w:cs="Times New Roman"/>
      </w:rPr>
    </w:lvl>
  </w:abstractNum>
  <w:abstractNum w:abstractNumId="3">
    <w:nsid w:val="7E9B3944"/>
    <w:multiLevelType w:val="singleLevel"/>
    <w:tmpl w:val="7E9B394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GVhNGQ0MzhiMjFiYjBhNmE5NTVkYWNkYmJmZmUifQ=="/>
  </w:docVars>
  <w:rsids>
    <w:rsidRoot w:val="00172A27"/>
    <w:rsid w:val="000322C8"/>
    <w:rsid w:val="000551DA"/>
    <w:rsid w:val="000A07BA"/>
    <w:rsid w:val="000C2EE7"/>
    <w:rsid w:val="00165A1D"/>
    <w:rsid w:val="00172A27"/>
    <w:rsid w:val="00256431"/>
    <w:rsid w:val="002D53C0"/>
    <w:rsid w:val="002E3CD7"/>
    <w:rsid w:val="00305FCC"/>
    <w:rsid w:val="004036CE"/>
    <w:rsid w:val="00445F3F"/>
    <w:rsid w:val="004F490E"/>
    <w:rsid w:val="00581D8A"/>
    <w:rsid w:val="005C3DEF"/>
    <w:rsid w:val="005E7B4D"/>
    <w:rsid w:val="00604E52"/>
    <w:rsid w:val="00612820"/>
    <w:rsid w:val="007434AE"/>
    <w:rsid w:val="00823B3B"/>
    <w:rsid w:val="008F0597"/>
    <w:rsid w:val="009579B0"/>
    <w:rsid w:val="00960906"/>
    <w:rsid w:val="00981CC8"/>
    <w:rsid w:val="00A5311F"/>
    <w:rsid w:val="00A741E6"/>
    <w:rsid w:val="00AE02D7"/>
    <w:rsid w:val="00B3767C"/>
    <w:rsid w:val="00B72181"/>
    <w:rsid w:val="00B76B04"/>
    <w:rsid w:val="00C55FAD"/>
    <w:rsid w:val="00C84769"/>
    <w:rsid w:val="00CE0085"/>
    <w:rsid w:val="00D14A8E"/>
    <w:rsid w:val="00D4048F"/>
    <w:rsid w:val="00ED7AB7"/>
    <w:rsid w:val="00F30767"/>
    <w:rsid w:val="00F43B19"/>
    <w:rsid w:val="00F97405"/>
    <w:rsid w:val="01007893"/>
    <w:rsid w:val="010E183C"/>
    <w:rsid w:val="01251EF0"/>
    <w:rsid w:val="01330404"/>
    <w:rsid w:val="0138621E"/>
    <w:rsid w:val="013B4C08"/>
    <w:rsid w:val="013D5BA6"/>
    <w:rsid w:val="015A60C5"/>
    <w:rsid w:val="016E6580"/>
    <w:rsid w:val="01792419"/>
    <w:rsid w:val="018F0B1E"/>
    <w:rsid w:val="01951DB9"/>
    <w:rsid w:val="01A303B3"/>
    <w:rsid w:val="01AE0C1B"/>
    <w:rsid w:val="01C039CE"/>
    <w:rsid w:val="01EE37A5"/>
    <w:rsid w:val="0208611B"/>
    <w:rsid w:val="023358A9"/>
    <w:rsid w:val="023615AF"/>
    <w:rsid w:val="024A4D97"/>
    <w:rsid w:val="024F01A6"/>
    <w:rsid w:val="02601A9E"/>
    <w:rsid w:val="02852330"/>
    <w:rsid w:val="028C773C"/>
    <w:rsid w:val="029810C9"/>
    <w:rsid w:val="029A3510"/>
    <w:rsid w:val="02AC3328"/>
    <w:rsid w:val="02B97306"/>
    <w:rsid w:val="02C62D99"/>
    <w:rsid w:val="02C649F6"/>
    <w:rsid w:val="02D264D3"/>
    <w:rsid w:val="02D62AD3"/>
    <w:rsid w:val="02E77606"/>
    <w:rsid w:val="02F900F0"/>
    <w:rsid w:val="030A27A5"/>
    <w:rsid w:val="030A5E0C"/>
    <w:rsid w:val="03173959"/>
    <w:rsid w:val="03215A31"/>
    <w:rsid w:val="035C1B9B"/>
    <w:rsid w:val="038C33CC"/>
    <w:rsid w:val="03AE3097"/>
    <w:rsid w:val="03B835CB"/>
    <w:rsid w:val="03D374CA"/>
    <w:rsid w:val="03D7388C"/>
    <w:rsid w:val="03DD306A"/>
    <w:rsid w:val="03E92771"/>
    <w:rsid w:val="04016E45"/>
    <w:rsid w:val="04512A9A"/>
    <w:rsid w:val="045F7637"/>
    <w:rsid w:val="04647342"/>
    <w:rsid w:val="047B2FED"/>
    <w:rsid w:val="047D1717"/>
    <w:rsid w:val="04800691"/>
    <w:rsid w:val="04906F0D"/>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5E7A09"/>
    <w:rsid w:val="055F5785"/>
    <w:rsid w:val="057766D7"/>
    <w:rsid w:val="05800CAE"/>
    <w:rsid w:val="05964237"/>
    <w:rsid w:val="05A07863"/>
    <w:rsid w:val="05AA0535"/>
    <w:rsid w:val="05BA56F5"/>
    <w:rsid w:val="05C00463"/>
    <w:rsid w:val="05CA70D4"/>
    <w:rsid w:val="05EF1B36"/>
    <w:rsid w:val="05F7537D"/>
    <w:rsid w:val="063D3E8F"/>
    <w:rsid w:val="063E4AA0"/>
    <w:rsid w:val="06456A8C"/>
    <w:rsid w:val="064F2365"/>
    <w:rsid w:val="06606BFB"/>
    <w:rsid w:val="066958C6"/>
    <w:rsid w:val="066B1C96"/>
    <w:rsid w:val="067D365B"/>
    <w:rsid w:val="0686072F"/>
    <w:rsid w:val="06B0129E"/>
    <w:rsid w:val="06B81D95"/>
    <w:rsid w:val="06D12E83"/>
    <w:rsid w:val="06EE69EC"/>
    <w:rsid w:val="06F82B7E"/>
    <w:rsid w:val="07571D11"/>
    <w:rsid w:val="07826A4B"/>
    <w:rsid w:val="07BF12C2"/>
    <w:rsid w:val="07C6738E"/>
    <w:rsid w:val="07E74A05"/>
    <w:rsid w:val="081608A9"/>
    <w:rsid w:val="084F59DE"/>
    <w:rsid w:val="087D7EB4"/>
    <w:rsid w:val="088038FF"/>
    <w:rsid w:val="08816951"/>
    <w:rsid w:val="08852E3A"/>
    <w:rsid w:val="08B140CE"/>
    <w:rsid w:val="08BC212A"/>
    <w:rsid w:val="08C3763E"/>
    <w:rsid w:val="08C506E5"/>
    <w:rsid w:val="08C52D6F"/>
    <w:rsid w:val="08E46EA7"/>
    <w:rsid w:val="08F700C6"/>
    <w:rsid w:val="090B6406"/>
    <w:rsid w:val="09153429"/>
    <w:rsid w:val="0915706F"/>
    <w:rsid w:val="091932F8"/>
    <w:rsid w:val="092578F3"/>
    <w:rsid w:val="092A77E7"/>
    <w:rsid w:val="0942111F"/>
    <w:rsid w:val="09573735"/>
    <w:rsid w:val="096950FC"/>
    <w:rsid w:val="09837CAA"/>
    <w:rsid w:val="09860C2E"/>
    <w:rsid w:val="09A058FC"/>
    <w:rsid w:val="09A84666"/>
    <w:rsid w:val="09C0007E"/>
    <w:rsid w:val="09C25EC2"/>
    <w:rsid w:val="0A174378"/>
    <w:rsid w:val="0A201A63"/>
    <w:rsid w:val="0A3A19D7"/>
    <w:rsid w:val="0A484CEC"/>
    <w:rsid w:val="0A5E145B"/>
    <w:rsid w:val="0A64281B"/>
    <w:rsid w:val="0A840B51"/>
    <w:rsid w:val="0A8B04DC"/>
    <w:rsid w:val="0A9F717D"/>
    <w:rsid w:val="0AA9161C"/>
    <w:rsid w:val="0AB01615"/>
    <w:rsid w:val="0AEF46AA"/>
    <w:rsid w:val="0AF97291"/>
    <w:rsid w:val="0B0902B5"/>
    <w:rsid w:val="0B0B67DD"/>
    <w:rsid w:val="0B1178E2"/>
    <w:rsid w:val="0B166BED"/>
    <w:rsid w:val="0B2B090C"/>
    <w:rsid w:val="0B39324F"/>
    <w:rsid w:val="0B3E1A17"/>
    <w:rsid w:val="0B5843AD"/>
    <w:rsid w:val="0B7B7DE4"/>
    <w:rsid w:val="0B875DF5"/>
    <w:rsid w:val="0B8C3357"/>
    <w:rsid w:val="0BCC0869"/>
    <w:rsid w:val="0BE679DE"/>
    <w:rsid w:val="0BFF0784"/>
    <w:rsid w:val="0C177C63"/>
    <w:rsid w:val="0C6D1CF5"/>
    <w:rsid w:val="0C885FA2"/>
    <w:rsid w:val="0CA47578"/>
    <w:rsid w:val="0CBF4BF8"/>
    <w:rsid w:val="0D095E08"/>
    <w:rsid w:val="0D170060"/>
    <w:rsid w:val="0D240477"/>
    <w:rsid w:val="0D3D4B21"/>
    <w:rsid w:val="0D3E1166"/>
    <w:rsid w:val="0D500C64"/>
    <w:rsid w:val="0D583AF2"/>
    <w:rsid w:val="0D587A08"/>
    <w:rsid w:val="0D5B2DEF"/>
    <w:rsid w:val="0D5E7BE0"/>
    <w:rsid w:val="0D7C4DD5"/>
    <w:rsid w:val="0D7E3D32"/>
    <w:rsid w:val="0D80557A"/>
    <w:rsid w:val="0D9D79B0"/>
    <w:rsid w:val="0DA22DAC"/>
    <w:rsid w:val="0DBA2892"/>
    <w:rsid w:val="0DD359BA"/>
    <w:rsid w:val="0DF74DCF"/>
    <w:rsid w:val="0DF8260B"/>
    <w:rsid w:val="0DF96D54"/>
    <w:rsid w:val="0E160A26"/>
    <w:rsid w:val="0E536302"/>
    <w:rsid w:val="0E561AE7"/>
    <w:rsid w:val="0E7041BA"/>
    <w:rsid w:val="0E716CB9"/>
    <w:rsid w:val="0E7A4ECE"/>
    <w:rsid w:val="0E7B0752"/>
    <w:rsid w:val="0E7C61D3"/>
    <w:rsid w:val="0E876762"/>
    <w:rsid w:val="0E8D3EEF"/>
    <w:rsid w:val="0E983E63"/>
    <w:rsid w:val="0EAC1495"/>
    <w:rsid w:val="0EB42572"/>
    <w:rsid w:val="0EB7249A"/>
    <w:rsid w:val="0EBF433E"/>
    <w:rsid w:val="0ED71628"/>
    <w:rsid w:val="0EF330E4"/>
    <w:rsid w:val="0F126346"/>
    <w:rsid w:val="0F1966EA"/>
    <w:rsid w:val="0F262DE9"/>
    <w:rsid w:val="0F4C0F3C"/>
    <w:rsid w:val="0F542633"/>
    <w:rsid w:val="0F5B66D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91E0A"/>
    <w:rsid w:val="10E80C92"/>
    <w:rsid w:val="110C0768"/>
    <w:rsid w:val="11105771"/>
    <w:rsid w:val="111E5122"/>
    <w:rsid w:val="112315AA"/>
    <w:rsid w:val="11236961"/>
    <w:rsid w:val="112D573C"/>
    <w:rsid w:val="112E2B27"/>
    <w:rsid w:val="11352AC3"/>
    <w:rsid w:val="114C5FF1"/>
    <w:rsid w:val="115241D9"/>
    <w:rsid w:val="115B4B8E"/>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111232"/>
    <w:rsid w:val="122F07E2"/>
    <w:rsid w:val="12697AD8"/>
    <w:rsid w:val="12974DAB"/>
    <w:rsid w:val="1299771C"/>
    <w:rsid w:val="12AB39AF"/>
    <w:rsid w:val="12BC061F"/>
    <w:rsid w:val="12CF6944"/>
    <w:rsid w:val="12D31474"/>
    <w:rsid w:val="12F266AE"/>
    <w:rsid w:val="12FE713F"/>
    <w:rsid w:val="130377D4"/>
    <w:rsid w:val="13191A65"/>
    <w:rsid w:val="1322619E"/>
    <w:rsid w:val="133B4F6A"/>
    <w:rsid w:val="13435E6F"/>
    <w:rsid w:val="13581549"/>
    <w:rsid w:val="13795301"/>
    <w:rsid w:val="13B103E8"/>
    <w:rsid w:val="13B43E61"/>
    <w:rsid w:val="13BB7800"/>
    <w:rsid w:val="13DF1642"/>
    <w:rsid w:val="13E65C0E"/>
    <w:rsid w:val="13FC2057"/>
    <w:rsid w:val="14191607"/>
    <w:rsid w:val="141B0D1A"/>
    <w:rsid w:val="141E3E26"/>
    <w:rsid w:val="1425541A"/>
    <w:rsid w:val="14517563"/>
    <w:rsid w:val="145233B5"/>
    <w:rsid w:val="14891FF9"/>
    <w:rsid w:val="14BA590D"/>
    <w:rsid w:val="14BC4694"/>
    <w:rsid w:val="14E91932"/>
    <w:rsid w:val="14EB7761"/>
    <w:rsid w:val="151D3A6A"/>
    <w:rsid w:val="15433673"/>
    <w:rsid w:val="154D06FF"/>
    <w:rsid w:val="15531FB2"/>
    <w:rsid w:val="155A361E"/>
    <w:rsid w:val="15863D5C"/>
    <w:rsid w:val="159E0778"/>
    <w:rsid w:val="15C2614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3454E"/>
    <w:rsid w:val="171112E5"/>
    <w:rsid w:val="17192051"/>
    <w:rsid w:val="17213AFE"/>
    <w:rsid w:val="1724738B"/>
    <w:rsid w:val="17424F79"/>
    <w:rsid w:val="17460232"/>
    <w:rsid w:val="175E3962"/>
    <w:rsid w:val="176A7CB6"/>
    <w:rsid w:val="17882F0B"/>
    <w:rsid w:val="17922031"/>
    <w:rsid w:val="17944621"/>
    <w:rsid w:val="179E18E9"/>
    <w:rsid w:val="17AF62A0"/>
    <w:rsid w:val="17B83255"/>
    <w:rsid w:val="17BE07CA"/>
    <w:rsid w:val="17D54619"/>
    <w:rsid w:val="17DE2FB7"/>
    <w:rsid w:val="17DE4D47"/>
    <w:rsid w:val="17EB1C10"/>
    <w:rsid w:val="18136FA0"/>
    <w:rsid w:val="18143491"/>
    <w:rsid w:val="181B0BD3"/>
    <w:rsid w:val="181D6EA6"/>
    <w:rsid w:val="18492EF0"/>
    <w:rsid w:val="185254F4"/>
    <w:rsid w:val="185C5F13"/>
    <w:rsid w:val="185E6D88"/>
    <w:rsid w:val="18740F2C"/>
    <w:rsid w:val="187939A8"/>
    <w:rsid w:val="187E50BF"/>
    <w:rsid w:val="188B0B51"/>
    <w:rsid w:val="18A2459B"/>
    <w:rsid w:val="18C36111"/>
    <w:rsid w:val="18DE2ED2"/>
    <w:rsid w:val="18E06F8D"/>
    <w:rsid w:val="18E21560"/>
    <w:rsid w:val="18EB5025"/>
    <w:rsid w:val="190742CD"/>
    <w:rsid w:val="190D36A9"/>
    <w:rsid w:val="19304DCF"/>
    <w:rsid w:val="19442175"/>
    <w:rsid w:val="194476BE"/>
    <w:rsid w:val="1955782F"/>
    <w:rsid w:val="196F44CB"/>
    <w:rsid w:val="19723BF7"/>
    <w:rsid w:val="197A134F"/>
    <w:rsid w:val="197E4D27"/>
    <w:rsid w:val="1981702D"/>
    <w:rsid w:val="198E78C5"/>
    <w:rsid w:val="19A857BB"/>
    <w:rsid w:val="19BA37C2"/>
    <w:rsid w:val="19DC2ECA"/>
    <w:rsid w:val="19E35721"/>
    <w:rsid w:val="19ED6C41"/>
    <w:rsid w:val="19FE7107"/>
    <w:rsid w:val="1A1C1CE5"/>
    <w:rsid w:val="1A234EFA"/>
    <w:rsid w:val="1A4E5D2F"/>
    <w:rsid w:val="1A75575B"/>
    <w:rsid w:val="1A7D0090"/>
    <w:rsid w:val="1AB319BE"/>
    <w:rsid w:val="1AD4393F"/>
    <w:rsid w:val="1AD77563"/>
    <w:rsid w:val="1AE509FF"/>
    <w:rsid w:val="1AE54FD5"/>
    <w:rsid w:val="1AEC06BC"/>
    <w:rsid w:val="1AF26D42"/>
    <w:rsid w:val="1B035639"/>
    <w:rsid w:val="1B2003AC"/>
    <w:rsid w:val="1B2F613A"/>
    <w:rsid w:val="1B2F6BA7"/>
    <w:rsid w:val="1B853D32"/>
    <w:rsid w:val="1B8835E4"/>
    <w:rsid w:val="1BC50BBF"/>
    <w:rsid w:val="1BD726EA"/>
    <w:rsid w:val="1BD7402E"/>
    <w:rsid w:val="1BDE1C65"/>
    <w:rsid w:val="1BEC49DB"/>
    <w:rsid w:val="1BEE0B84"/>
    <w:rsid w:val="1BF4059C"/>
    <w:rsid w:val="1BF6798D"/>
    <w:rsid w:val="1BFC7520"/>
    <w:rsid w:val="1C0B2F27"/>
    <w:rsid w:val="1C4231EC"/>
    <w:rsid w:val="1C43753B"/>
    <w:rsid w:val="1C4E11FC"/>
    <w:rsid w:val="1C56219C"/>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510BDB"/>
    <w:rsid w:val="1D551DAF"/>
    <w:rsid w:val="1D5B3CB8"/>
    <w:rsid w:val="1D8C3CD3"/>
    <w:rsid w:val="1DA1569E"/>
    <w:rsid w:val="1DBE5F86"/>
    <w:rsid w:val="1DD57D7F"/>
    <w:rsid w:val="1E0740A2"/>
    <w:rsid w:val="1E0A51EF"/>
    <w:rsid w:val="1E48458C"/>
    <w:rsid w:val="1E552FF2"/>
    <w:rsid w:val="1E5A3B65"/>
    <w:rsid w:val="1E5D4FF0"/>
    <w:rsid w:val="1E5F4105"/>
    <w:rsid w:val="1E6C14AB"/>
    <w:rsid w:val="1E9F5C7C"/>
    <w:rsid w:val="1E9F669B"/>
    <w:rsid w:val="1EA254C4"/>
    <w:rsid w:val="1ECF001D"/>
    <w:rsid w:val="1EDC0931"/>
    <w:rsid w:val="1EE13257"/>
    <w:rsid w:val="1EF06925"/>
    <w:rsid w:val="1EF85EBB"/>
    <w:rsid w:val="1F2A5C8F"/>
    <w:rsid w:val="1F3F7F12"/>
    <w:rsid w:val="1F550E6F"/>
    <w:rsid w:val="1F647CCA"/>
    <w:rsid w:val="1F6D7F66"/>
    <w:rsid w:val="1F6E7EA0"/>
    <w:rsid w:val="1F873CBF"/>
    <w:rsid w:val="1FA173F5"/>
    <w:rsid w:val="1FA94802"/>
    <w:rsid w:val="1FC67503"/>
    <w:rsid w:val="1FDE70D1"/>
    <w:rsid w:val="1FEF1512"/>
    <w:rsid w:val="1FF33877"/>
    <w:rsid w:val="1FF74072"/>
    <w:rsid w:val="200828C6"/>
    <w:rsid w:val="20085B73"/>
    <w:rsid w:val="200D0CA3"/>
    <w:rsid w:val="2029556A"/>
    <w:rsid w:val="2036713F"/>
    <w:rsid w:val="203C17F2"/>
    <w:rsid w:val="205F7BF9"/>
    <w:rsid w:val="206105A6"/>
    <w:rsid w:val="206D1166"/>
    <w:rsid w:val="207F3560"/>
    <w:rsid w:val="20806BFB"/>
    <w:rsid w:val="208E3787"/>
    <w:rsid w:val="20922904"/>
    <w:rsid w:val="209C15AC"/>
    <w:rsid w:val="20A377C7"/>
    <w:rsid w:val="20A90F70"/>
    <w:rsid w:val="20D00624"/>
    <w:rsid w:val="20F64A35"/>
    <w:rsid w:val="20FA3CE2"/>
    <w:rsid w:val="210D1A49"/>
    <w:rsid w:val="21130FE1"/>
    <w:rsid w:val="211C305E"/>
    <w:rsid w:val="21611CCB"/>
    <w:rsid w:val="216C5CA2"/>
    <w:rsid w:val="21BB5E33"/>
    <w:rsid w:val="21C24E71"/>
    <w:rsid w:val="21C67161"/>
    <w:rsid w:val="21D00C81"/>
    <w:rsid w:val="21D032ED"/>
    <w:rsid w:val="21D21888"/>
    <w:rsid w:val="21DE7CEF"/>
    <w:rsid w:val="21E75FAA"/>
    <w:rsid w:val="21EB0FE8"/>
    <w:rsid w:val="21F471EA"/>
    <w:rsid w:val="21F81B93"/>
    <w:rsid w:val="21FD636C"/>
    <w:rsid w:val="22177DFE"/>
    <w:rsid w:val="22214E8B"/>
    <w:rsid w:val="222B00F8"/>
    <w:rsid w:val="225F2771"/>
    <w:rsid w:val="227F0AA8"/>
    <w:rsid w:val="22811E51"/>
    <w:rsid w:val="228C7DBD"/>
    <w:rsid w:val="229E1AD7"/>
    <w:rsid w:val="22B51B4C"/>
    <w:rsid w:val="22C80A68"/>
    <w:rsid w:val="22E753A0"/>
    <w:rsid w:val="22F11013"/>
    <w:rsid w:val="23026758"/>
    <w:rsid w:val="23156A1D"/>
    <w:rsid w:val="2316669C"/>
    <w:rsid w:val="231B3959"/>
    <w:rsid w:val="23372454"/>
    <w:rsid w:val="237770F1"/>
    <w:rsid w:val="2379093F"/>
    <w:rsid w:val="237D5522"/>
    <w:rsid w:val="237E49F2"/>
    <w:rsid w:val="237F088B"/>
    <w:rsid w:val="239D2E24"/>
    <w:rsid w:val="239E0EFF"/>
    <w:rsid w:val="23B25C43"/>
    <w:rsid w:val="23B46A31"/>
    <w:rsid w:val="23B9767A"/>
    <w:rsid w:val="23BC668F"/>
    <w:rsid w:val="23CD03C9"/>
    <w:rsid w:val="23D0134E"/>
    <w:rsid w:val="23D14BD1"/>
    <w:rsid w:val="23D45A1D"/>
    <w:rsid w:val="23DC20B6"/>
    <w:rsid w:val="23DC5161"/>
    <w:rsid w:val="23E06F49"/>
    <w:rsid w:val="24160D4E"/>
    <w:rsid w:val="24217E53"/>
    <w:rsid w:val="243079AF"/>
    <w:rsid w:val="24364576"/>
    <w:rsid w:val="24470093"/>
    <w:rsid w:val="244A129E"/>
    <w:rsid w:val="244E01E1"/>
    <w:rsid w:val="24523F05"/>
    <w:rsid w:val="246A4D03"/>
    <w:rsid w:val="246B5060"/>
    <w:rsid w:val="247D4CEA"/>
    <w:rsid w:val="24CB43A2"/>
    <w:rsid w:val="24D136EA"/>
    <w:rsid w:val="250C526B"/>
    <w:rsid w:val="252044A2"/>
    <w:rsid w:val="25255746"/>
    <w:rsid w:val="25431230"/>
    <w:rsid w:val="256453DD"/>
    <w:rsid w:val="25654636"/>
    <w:rsid w:val="2569146F"/>
    <w:rsid w:val="25783AE7"/>
    <w:rsid w:val="25AD75BF"/>
    <w:rsid w:val="25B40CB1"/>
    <w:rsid w:val="25B87051"/>
    <w:rsid w:val="25C6042C"/>
    <w:rsid w:val="25C82C6A"/>
    <w:rsid w:val="25D36BA2"/>
    <w:rsid w:val="25DC0129"/>
    <w:rsid w:val="25E85CD9"/>
    <w:rsid w:val="25F979C0"/>
    <w:rsid w:val="26060D4A"/>
    <w:rsid w:val="26171CD0"/>
    <w:rsid w:val="261A5A10"/>
    <w:rsid w:val="26251F40"/>
    <w:rsid w:val="26324721"/>
    <w:rsid w:val="26514CEC"/>
    <w:rsid w:val="26517A13"/>
    <w:rsid w:val="26583602"/>
    <w:rsid w:val="26627AEB"/>
    <w:rsid w:val="267473A3"/>
    <w:rsid w:val="267D7CB3"/>
    <w:rsid w:val="26C765AD"/>
    <w:rsid w:val="26D07ABD"/>
    <w:rsid w:val="26EF2570"/>
    <w:rsid w:val="26F65840"/>
    <w:rsid w:val="27207AFE"/>
    <w:rsid w:val="27487441"/>
    <w:rsid w:val="276369CB"/>
    <w:rsid w:val="276A6D97"/>
    <w:rsid w:val="276F6341"/>
    <w:rsid w:val="27801B28"/>
    <w:rsid w:val="2796273C"/>
    <w:rsid w:val="27BC6441"/>
    <w:rsid w:val="27E2757A"/>
    <w:rsid w:val="27FE5562"/>
    <w:rsid w:val="28077D25"/>
    <w:rsid w:val="28131E3F"/>
    <w:rsid w:val="2826006E"/>
    <w:rsid w:val="28387423"/>
    <w:rsid w:val="28462B22"/>
    <w:rsid w:val="284D5F37"/>
    <w:rsid w:val="285E4DC9"/>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D76730"/>
    <w:rsid w:val="29D97869"/>
    <w:rsid w:val="2A193F65"/>
    <w:rsid w:val="2A567C96"/>
    <w:rsid w:val="2A5C3505"/>
    <w:rsid w:val="2A8320CC"/>
    <w:rsid w:val="2A9867EE"/>
    <w:rsid w:val="2AA6741A"/>
    <w:rsid w:val="2AE35882"/>
    <w:rsid w:val="2B1B6DC7"/>
    <w:rsid w:val="2B251E53"/>
    <w:rsid w:val="2B4D78BA"/>
    <w:rsid w:val="2B585E70"/>
    <w:rsid w:val="2B5B4633"/>
    <w:rsid w:val="2BB172BB"/>
    <w:rsid w:val="2BBC513B"/>
    <w:rsid w:val="2BCD376E"/>
    <w:rsid w:val="2C006140"/>
    <w:rsid w:val="2C0A0C4E"/>
    <w:rsid w:val="2C0B282E"/>
    <w:rsid w:val="2C1650BD"/>
    <w:rsid w:val="2C1959E5"/>
    <w:rsid w:val="2C4B77C7"/>
    <w:rsid w:val="2C5867CF"/>
    <w:rsid w:val="2C63351D"/>
    <w:rsid w:val="2C6402FB"/>
    <w:rsid w:val="2C6F1903"/>
    <w:rsid w:val="2C7C7C88"/>
    <w:rsid w:val="2C800533"/>
    <w:rsid w:val="2C824B7E"/>
    <w:rsid w:val="2C8361C5"/>
    <w:rsid w:val="2C863E1B"/>
    <w:rsid w:val="2C892721"/>
    <w:rsid w:val="2C9C273B"/>
    <w:rsid w:val="2CCC6172"/>
    <w:rsid w:val="2CD803A2"/>
    <w:rsid w:val="2CDE3DCB"/>
    <w:rsid w:val="2CDF1F2B"/>
    <w:rsid w:val="2CE82406"/>
    <w:rsid w:val="2CF3181E"/>
    <w:rsid w:val="2CF6517F"/>
    <w:rsid w:val="2D04549F"/>
    <w:rsid w:val="2D0E7CC8"/>
    <w:rsid w:val="2D24365F"/>
    <w:rsid w:val="2D3E4627"/>
    <w:rsid w:val="2D5001D5"/>
    <w:rsid w:val="2D5531EF"/>
    <w:rsid w:val="2D7515E3"/>
    <w:rsid w:val="2D843CE4"/>
    <w:rsid w:val="2DA515AB"/>
    <w:rsid w:val="2DAA22A3"/>
    <w:rsid w:val="2DAC1C0D"/>
    <w:rsid w:val="2DCC1298"/>
    <w:rsid w:val="2DD105BA"/>
    <w:rsid w:val="2DDB0EAA"/>
    <w:rsid w:val="2DDC0B49"/>
    <w:rsid w:val="2DDD4A49"/>
    <w:rsid w:val="2E0F1B63"/>
    <w:rsid w:val="2E1135A2"/>
    <w:rsid w:val="2E142328"/>
    <w:rsid w:val="2E1C2A3A"/>
    <w:rsid w:val="2E21163E"/>
    <w:rsid w:val="2E2A5F9E"/>
    <w:rsid w:val="2E81295C"/>
    <w:rsid w:val="2E855ADF"/>
    <w:rsid w:val="2E90145A"/>
    <w:rsid w:val="2E9B555A"/>
    <w:rsid w:val="2EA15034"/>
    <w:rsid w:val="2EC47C6B"/>
    <w:rsid w:val="2EE161F9"/>
    <w:rsid w:val="2EEE550E"/>
    <w:rsid w:val="2EFA1321"/>
    <w:rsid w:val="2F0C123B"/>
    <w:rsid w:val="2F104EF5"/>
    <w:rsid w:val="2F241D9C"/>
    <w:rsid w:val="2F666452"/>
    <w:rsid w:val="2F800A22"/>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D4A9A"/>
    <w:rsid w:val="311623C2"/>
    <w:rsid w:val="31184E64"/>
    <w:rsid w:val="31310D4C"/>
    <w:rsid w:val="31414A5E"/>
    <w:rsid w:val="3146420E"/>
    <w:rsid w:val="314D2FF9"/>
    <w:rsid w:val="31653999"/>
    <w:rsid w:val="316B25F0"/>
    <w:rsid w:val="316E4972"/>
    <w:rsid w:val="3172742B"/>
    <w:rsid w:val="318375C6"/>
    <w:rsid w:val="318C5DE1"/>
    <w:rsid w:val="318F760D"/>
    <w:rsid w:val="31B217A1"/>
    <w:rsid w:val="31DB2ECD"/>
    <w:rsid w:val="31E831E8"/>
    <w:rsid w:val="321336D2"/>
    <w:rsid w:val="321D7C9D"/>
    <w:rsid w:val="322936D7"/>
    <w:rsid w:val="32320BDC"/>
    <w:rsid w:val="3235285C"/>
    <w:rsid w:val="323C48F6"/>
    <w:rsid w:val="324F0BF0"/>
    <w:rsid w:val="324F14D9"/>
    <w:rsid w:val="324F7611"/>
    <w:rsid w:val="327970B9"/>
    <w:rsid w:val="32797B6F"/>
    <w:rsid w:val="32A73FA5"/>
    <w:rsid w:val="32C42CAC"/>
    <w:rsid w:val="32E06A79"/>
    <w:rsid w:val="32F02819"/>
    <w:rsid w:val="32F9052C"/>
    <w:rsid w:val="32FB3E09"/>
    <w:rsid w:val="3300312C"/>
    <w:rsid w:val="33121AA1"/>
    <w:rsid w:val="3317335F"/>
    <w:rsid w:val="331A4072"/>
    <w:rsid w:val="3332073B"/>
    <w:rsid w:val="333F77DD"/>
    <w:rsid w:val="33650EE0"/>
    <w:rsid w:val="336957F3"/>
    <w:rsid w:val="33814278"/>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073D1"/>
    <w:rsid w:val="35254F3A"/>
    <w:rsid w:val="352759D1"/>
    <w:rsid w:val="3532359C"/>
    <w:rsid w:val="35354668"/>
    <w:rsid w:val="353A6050"/>
    <w:rsid w:val="354040E2"/>
    <w:rsid w:val="355C3599"/>
    <w:rsid w:val="356928AF"/>
    <w:rsid w:val="357C78DE"/>
    <w:rsid w:val="35800436"/>
    <w:rsid w:val="358579DE"/>
    <w:rsid w:val="359336F3"/>
    <w:rsid w:val="35A81A21"/>
    <w:rsid w:val="35B61A9B"/>
    <w:rsid w:val="35B91D36"/>
    <w:rsid w:val="35BF1FB9"/>
    <w:rsid w:val="35DF4003"/>
    <w:rsid w:val="35E574C0"/>
    <w:rsid w:val="361B5B4E"/>
    <w:rsid w:val="361D3657"/>
    <w:rsid w:val="36233F9D"/>
    <w:rsid w:val="364C3796"/>
    <w:rsid w:val="364D066D"/>
    <w:rsid w:val="36772774"/>
    <w:rsid w:val="368215FE"/>
    <w:rsid w:val="36B25143"/>
    <w:rsid w:val="36CF347B"/>
    <w:rsid w:val="36D14E27"/>
    <w:rsid w:val="36D97FB8"/>
    <w:rsid w:val="371A59E1"/>
    <w:rsid w:val="37240250"/>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A464F9"/>
    <w:rsid w:val="38AC3066"/>
    <w:rsid w:val="38AC436C"/>
    <w:rsid w:val="38B87B6E"/>
    <w:rsid w:val="38BF0F3E"/>
    <w:rsid w:val="38C95ED9"/>
    <w:rsid w:val="38CA300C"/>
    <w:rsid w:val="38D06594"/>
    <w:rsid w:val="38E060F1"/>
    <w:rsid w:val="38FC7121"/>
    <w:rsid w:val="38FD0AC5"/>
    <w:rsid w:val="39003390"/>
    <w:rsid w:val="39010974"/>
    <w:rsid w:val="3907079C"/>
    <w:rsid w:val="39170EC9"/>
    <w:rsid w:val="393F7622"/>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F45D1"/>
    <w:rsid w:val="3A8227E5"/>
    <w:rsid w:val="3AB013BF"/>
    <w:rsid w:val="3AB6148B"/>
    <w:rsid w:val="3AB82B8A"/>
    <w:rsid w:val="3AD7234B"/>
    <w:rsid w:val="3ADE1AD5"/>
    <w:rsid w:val="3AE56805"/>
    <w:rsid w:val="3B132590"/>
    <w:rsid w:val="3B5847E9"/>
    <w:rsid w:val="3B8F407A"/>
    <w:rsid w:val="3BA60B93"/>
    <w:rsid w:val="3BB616DF"/>
    <w:rsid w:val="3BF3026A"/>
    <w:rsid w:val="3C0A10A8"/>
    <w:rsid w:val="3C125364"/>
    <w:rsid w:val="3C1F0FD1"/>
    <w:rsid w:val="3C2351B6"/>
    <w:rsid w:val="3C444AF5"/>
    <w:rsid w:val="3C4D3897"/>
    <w:rsid w:val="3C4D6F59"/>
    <w:rsid w:val="3C521404"/>
    <w:rsid w:val="3C5E539B"/>
    <w:rsid w:val="3C630A5B"/>
    <w:rsid w:val="3C7269E9"/>
    <w:rsid w:val="3CC330F6"/>
    <w:rsid w:val="3CC50422"/>
    <w:rsid w:val="3CC63F65"/>
    <w:rsid w:val="3CC86FC9"/>
    <w:rsid w:val="3CCB46CA"/>
    <w:rsid w:val="3CD63197"/>
    <w:rsid w:val="3D0972EB"/>
    <w:rsid w:val="3D2F43EF"/>
    <w:rsid w:val="3D68584E"/>
    <w:rsid w:val="3D6C3C45"/>
    <w:rsid w:val="3D764B63"/>
    <w:rsid w:val="3D9A7321"/>
    <w:rsid w:val="3D9C48F8"/>
    <w:rsid w:val="3DA2472E"/>
    <w:rsid w:val="3DAA2473"/>
    <w:rsid w:val="3E2357D8"/>
    <w:rsid w:val="3E315296"/>
    <w:rsid w:val="3E507BFC"/>
    <w:rsid w:val="3E515C8A"/>
    <w:rsid w:val="3E596005"/>
    <w:rsid w:val="3E833A1C"/>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185137"/>
    <w:rsid w:val="402F14D9"/>
    <w:rsid w:val="40477AD1"/>
    <w:rsid w:val="405B2D35"/>
    <w:rsid w:val="406608CC"/>
    <w:rsid w:val="406C1FA6"/>
    <w:rsid w:val="407630B7"/>
    <w:rsid w:val="407B0128"/>
    <w:rsid w:val="407E43D4"/>
    <w:rsid w:val="40873868"/>
    <w:rsid w:val="40902190"/>
    <w:rsid w:val="40AC1DED"/>
    <w:rsid w:val="40BC60FB"/>
    <w:rsid w:val="40D75D3F"/>
    <w:rsid w:val="40E42E0D"/>
    <w:rsid w:val="40F8192B"/>
    <w:rsid w:val="41220CAF"/>
    <w:rsid w:val="412E4991"/>
    <w:rsid w:val="413A56F6"/>
    <w:rsid w:val="4165249F"/>
    <w:rsid w:val="418A6E14"/>
    <w:rsid w:val="41A27872"/>
    <w:rsid w:val="41AC2313"/>
    <w:rsid w:val="41BB44E3"/>
    <w:rsid w:val="41C50675"/>
    <w:rsid w:val="41F47D3B"/>
    <w:rsid w:val="420559B3"/>
    <w:rsid w:val="4210035E"/>
    <w:rsid w:val="423773BA"/>
    <w:rsid w:val="42386C01"/>
    <w:rsid w:val="423A336B"/>
    <w:rsid w:val="4252254E"/>
    <w:rsid w:val="425B59EA"/>
    <w:rsid w:val="425D2BCC"/>
    <w:rsid w:val="42937CAF"/>
    <w:rsid w:val="4298644F"/>
    <w:rsid w:val="429E6876"/>
    <w:rsid w:val="42AD2B71"/>
    <w:rsid w:val="42BC56D0"/>
    <w:rsid w:val="430168B8"/>
    <w:rsid w:val="430C159E"/>
    <w:rsid w:val="431C0FD8"/>
    <w:rsid w:val="432C69BC"/>
    <w:rsid w:val="4377327F"/>
    <w:rsid w:val="43904469"/>
    <w:rsid w:val="43933CA0"/>
    <w:rsid w:val="43A82FD5"/>
    <w:rsid w:val="43B91DAA"/>
    <w:rsid w:val="43C83510"/>
    <w:rsid w:val="43FA58B6"/>
    <w:rsid w:val="44081F09"/>
    <w:rsid w:val="440A2F83"/>
    <w:rsid w:val="441901BE"/>
    <w:rsid w:val="445C5D26"/>
    <w:rsid w:val="446E1F07"/>
    <w:rsid w:val="448B2102"/>
    <w:rsid w:val="449900F5"/>
    <w:rsid w:val="449F3AAC"/>
    <w:rsid w:val="44A4522B"/>
    <w:rsid w:val="44B17003"/>
    <w:rsid w:val="451F55A0"/>
    <w:rsid w:val="45210077"/>
    <w:rsid w:val="453C7D64"/>
    <w:rsid w:val="453F7628"/>
    <w:rsid w:val="45403E4D"/>
    <w:rsid w:val="454050A9"/>
    <w:rsid w:val="45407AB5"/>
    <w:rsid w:val="459704A1"/>
    <w:rsid w:val="45A50F46"/>
    <w:rsid w:val="45B11EE5"/>
    <w:rsid w:val="45B95841"/>
    <w:rsid w:val="45C20E9E"/>
    <w:rsid w:val="45DA3724"/>
    <w:rsid w:val="45DF0477"/>
    <w:rsid w:val="45FA6EE8"/>
    <w:rsid w:val="461B197A"/>
    <w:rsid w:val="461D4A97"/>
    <w:rsid w:val="461F40D3"/>
    <w:rsid w:val="4646705B"/>
    <w:rsid w:val="46513FED"/>
    <w:rsid w:val="468C02FD"/>
    <w:rsid w:val="469446D6"/>
    <w:rsid w:val="469A39EA"/>
    <w:rsid w:val="46AB2646"/>
    <w:rsid w:val="46B01C29"/>
    <w:rsid w:val="46CA1E85"/>
    <w:rsid w:val="46E37D9E"/>
    <w:rsid w:val="46EE42DF"/>
    <w:rsid w:val="46FE3D85"/>
    <w:rsid w:val="4704272C"/>
    <w:rsid w:val="470C633F"/>
    <w:rsid w:val="47271E3C"/>
    <w:rsid w:val="47372735"/>
    <w:rsid w:val="475B4AD3"/>
    <w:rsid w:val="475F0927"/>
    <w:rsid w:val="47AB7402"/>
    <w:rsid w:val="47AC276C"/>
    <w:rsid w:val="47AD05EC"/>
    <w:rsid w:val="47E24779"/>
    <w:rsid w:val="47FD0920"/>
    <w:rsid w:val="48141AAF"/>
    <w:rsid w:val="481B3258"/>
    <w:rsid w:val="482728EE"/>
    <w:rsid w:val="483F0D04"/>
    <w:rsid w:val="485830BD"/>
    <w:rsid w:val="485C3C19"/>
    <w:rsid w:val="488D33C5"/>
    <w:rsid w:val="489167A2"/>
    <w:rsid w:val="489E3831"/>
    <w:rsid w:val="48A82E66"/>
    <w:rsid w:val="48B71159"/>
    <w:rsid w:val="48CB3FD3"/>
    <w:rsid w:val="48CE3A51"/>
    <w:rsid w:val="48E13ECD"/>
    <w:rsid w:val="48EB1726"/>
    <w:rsid w:val="48FF78DE"/>
    <w:rsid w:val="49242E99"/>
    <w:rsid w:val="493233AE"/>
    <w:rsid w:val="494F29A1"/>
    <w:rsid w:val="495B59A8"/>
    <w:rsid w:val="49675974"/>
    <w:rsid w:val="49756946"/>
    <w:rsid w:val="497C7168"/>
    <w:rsid w:val="4995475C"/>
    <w:rsid w:val="49A43C34"/>
    <w:rsid w:val="49B13DF0"/>
    <w:rsid w:val="49C31FA6"/>
    <w:rsid w:val="49C60D15"/>
    <w:rsid w:val="49D528F3"/>
    <w:rsid w:val="49D81C0B"/>
    <w:rsid w:val="49E4194A"/>
    <w:rsid w:val="49EE7CDB"/>
    <w:rsid w:val="4A0C3A08"/>
    <w:rsid w:val="4A0D0548"/>
    <w:rsid w:val="4A2C42CD"/>
    <w:rsid w:val="4A314DD7"/>
    <w:rsid w:val="4A333BC5"/>
    <w:rsid w:val="4A3D6D7D"/>
    <w:rsid w:val="4A5374A0"/>
    <w:rsid w:val="4A581909"/>
    <w:rsid w:val="4A5E3812"/>
    <w:rsid w:val="4A67017F"/>
    <w:rsid w:val="4A81724A"/>
    <w:rsid w:val="4A9021DB"/>
    <w:rsid w:val="4A9E67FA"/>
    <w:rsid w:val="4AB12337"/>
    <w:rsid w:val="4AB873A4"/>
    <w:rsid w:val="4AC05AD8"/>
    <w:rsid w:val="4AD658D5"/>
    <w:rsid w:val="4AD94078"/>
    <w:rsid w:val="4AEE52AC"/>
    <w:rsid w:val="4AF41787"/>
    <w:rsid w:val="4B0444D9"/>
    <w:rsid w:val="4B13279D"/>
    <w:rsid w:val="4B5936AA"/>
    <w:rsid w:val="4B5C462F"/>
    <w:rsid w:val="4B5D1EF4"/>
    <w:rsid w:val="4B5F55B3"/>
    <w:rsid w:val="4B6D0492"/>
    <w:rsid w:val="4B6D785E"/>
    <w:rsid w:val="4B745E42"/>
    <w:rsid w:val="4B8735C1"/>
    <w:rsid w:val="4B8F2DC3"/>
    <w:rsid w:val="4B9E091B"/>
    <w:rsid w:val="4BCF496E"/>
    <w:rsid w:val="4BDC08AD"/>
    <w:rsid w:val="4BED4D12"/>
    <w:rsid w:val="4BF34CE1"/>
    <w:rsid w:val="4BFE5090"/>
    <w:rsid w:val="4C11306C"/>
    <w:rsid w:val="4C147D69"/>
    <w:rsid w:val="4C2C1484"/>
    <w:rsid w:val="4C2E470A"/>
    <w:rsid w:val="4C3327C1"/>
    <w:rsid w:val="4C4B1E3A"/>
    <w:rsid w:val="4C5C7BFB"/>
    <w:rsid w:val="4C632C63"/>
    <w:rsid w:val="4C8338E1"/>
    <w:rsid w:val="4CA45A05"/>
    <w:rsid w:val="4CB13156"/>
    <w:rsid w:val="4CC976B2"/>
    <w:rsid w:val="4CE40C32"/>
    <w:rsid w:val="4CE71BB7"/>
    <w:rsid w:val="4D22443E"/>
    <w:rsid w:val="4D2401EC"/>
    <w:rsid w:val="4D316B33"/>
    <w:rsid w:val="4D321DC9"/>
    <w:rsid w:val="4D590BF1"/>
    <w:rsid w:val="4D68550E"/>
    <w:rsid w:val="4D6B1F05"/>
    <w:rsid w:val="4D8718F8"/>
    <w:rsid w:val="4D8D402F"/>
    <w:rsid w:val="4DA9749E"/>
    <w:rsid w:val="4DBC1DFB"/>
    <w:rsid w:val="4DBD4199"/>
    <w:rsid w:val="4DC12B9F"/>
    <w:rsid w:val="4DD36A02"/>
    <w:rsid w:val="4DE44058"/>
    <w:rsid w:val="4DE4442C"/>
    <w:rsid w:val="4E0D0A85"/>
    <w:rsid w:val="4E100AB2"/>
    <w:rsid w:val="4E233B3D"/>
    <w:rsid w:val="4E8D4700"/>
    <w:rsid w:val="4EA07AD7"/>
    <w:rsid w:val="4EBD3D3C"/>
    <w:rsid w:val="4EC36A56"/>
    <w:rsid w:val="4EED4CCC"/>
    <w:rsid w:val="4EF07430"/>
    <w:rsid w:val="4EFC5555"/>
    <w:rsid w:val="4F0831DA"/>
    <w:rsid w:val="4F0B36E6"/>
    <w:rsid w:val="4F3E6166"/>
    <w:rsid w:val="4F5178A3"/>
    <w:rsid w:val="4F5368C9"/>
    <w:rsid w:val="4F6B7BEA"/>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B6517B"/>
    <w:rsid w:val="50F04F55"/>
    <w:rsid w:val="512A3E35"/>
    <w:rsid w:val="51413A5A"/>
    <w:rsid w:val="51415D27"/>
    <w:rsid w:val="514D4018"/>
    <w:rsid w:val="51596572"/>
    <w:rsid w:val="517F4BC4"/>
    <w:rsid w:val="51A20030"/>
    <w:rsid w:val="51A73B0A"/>
    <w:rsid w:val="51C407B0"/>
    <w:rsid w:val="51C615D4"/>
    <w:rsid w:val="51CB0037"/>
    <w:rsid w:val="51DD5090"/>
    <w:rsid w:val="52165A93"/>
    <w:rsid w:val="522A39D8"/>
    <w:rsid w:val="52435C07"/>
    <w:rsid w:val="524C6970"/>
    <w:rsid w:val="52530420"/>
    <w:rsid w:val="525D670B"/>
    <w:rsid w:val="526A0AB7"/>
    <w:rsid w:val="52763594"/>
    <w:rsid w:val="52783AA3"/>
    <w:rsid w:val="528470A4"/>
    <w:rsid w:val="528F1A18"/>
    <w:rsid w:val="52904000"/>
    <w:rsid w:val="52C65B54"/>
    <w:rsid w:val="52C737F3"/>
    <w:rsid w:val="52EC1C76"/>
    <w:rsid w:val="5316117F"/>
    <w:rsid w:val="53186EE4"/>
    <w:rsid w:val="5339007E"/>
    <w:rsid w:val="535C76C6"/>
    <w:rsid w:val="53637DCA"/>
    <w:rsid w:val="537257C5"/>
    <w:rsid w:val="53A157B9"/>
    <w:rsid w:val="53B85768"/>
    <w:rsid w:val="53BA2E6A"/>
    <w:rsid w:val="53C33CD8"/>
    <w:rsid w:val="53C43BC7"/>
    <w:rsid w:val="53D61973"/>
    <w:rsid w:val="53DF5628"/>
    <w:rsid w:val="53F6304F"/>
    <w:rsid w:val="5425031B"/>
    <w:rsid w:val="54534028"/>
    <w:rsid w:val="54537B65"/>
    <w:rsid w:val="545E27DF"/>
    <w:rsid w:val="54843BB7"/>
    <w:rsid w:val="54FB4AFB"/>
    <w:rsid w:val="55402408"/>
    <w:rsid w:val="55413F6A"/>
    <w:rsid w:val="554E7400"/>
    <w:rsid w:val="5553267F"/>
    <w:rsid w:val="55584384"/>
    <w:rsid w:val="555A26FB"/>
    <w:rsid w:val="5570591E"/>
    <w:rsid w:val="55934C35"/>
    <w:rsid w:val="559B18F9"/>
    <w:rsid w:val="55A84C13"/>
    <w:rsid w:val="55E8288A"/>
    <w:rsid w:val="55F310CC"/>
    <w:rsid w:val="55F70216"/>
    <w:rsid w:val="55FF3307"/>
    <w:rsid w:val="563D4EBF"/>
    <w:rsid w:val="565A2562"/>
    <w:rsid w:val="565B7F3A"/>
    <w:rsid w:val="5665084A"/>
    <w:rsid w:val="56834D00"/>
    <w:rsid w:val="568432FD"/>
    <w:rsid w:val="568602D2"/>
    <w:rsid w:val="568C4C53"/>
    <w:rsid w:val="569430D1"/>
    <w:rsid w:val="56945527"/>
    <w:rsid w:val="56A207E4"/>
    <w:rsid w:val="56A516E6"/>
    <w:rsid w:val="56B860D6"/>
    <w:rsid w:val="56CE49F6"/>
    <w:rsid w:val="56D47B48"/>
    <w:rsid w:val="56DF623F"/>
    <w:rsid w:val="56E53A8A"/>
    <w:rsid w:val="56ED74A9"/>
    <w:rsid w:val="56F15EAF"/>
    <w:rsid w:val="57015B11"/>
    <w:rsid w:val="57297E4C"/>
    <w:rsid w:val="573F1832"/>
    <w:rsid w:val="574511BD"/>
    <w:rsid w:val="574D2D46"/>
    <w:rsid w:val="57517D88"/>
    <w:rsid w:val="57535F58"/>
    <w:rsid w:val="57540152"/>
    <w:rsid w:val="57600C19"/>
    <w:rsid w:val="576A410C"/>
    <w:rsid w:val="57851FA6"/>
    <w:rsid w:val="578B60AE"/>
    <w:rsid w:val="57B8020A"/>
    <w:rsid w:val="57D10DA1"/>
    <w:rsid w:val="580C7901"/>
    <w:rsid w:val="58160449"/>
    <w:rsid w:val="582721E3"/>
    <w:rsid w:val="583D1F4B"/>
    <w:rsid w:val="5841015B"/>
    <w:rsid w:val="5860518C"/>
    <w:rsid w:val="586256A7"/>
    <w:rsid w:val="58840844"/>
    <w:rsid w:val="589C3163"/>
    <w:rsid w:val="58A310F9"/>
    <w:rsid w:val="58A42014"/>
    <w:rsid w:val="58D91F55"/>
    <w:rsid w:val="58E53F4D"/>
    <w:rsid w:val="59144198"/>
    <w:rsid w:val="59377486"/>
    <w:rsid w:val="59456704"/>
    <w:rsid w:val="5950021B"/>
    <w:rsid w:val="59502516"/>
    <w:rsid w:val="5955281D"/>
    <w:rsid w:val="599F65AE"/>
    <w:rsid w:val="59A26A9D"/>
    <w:rsid w:val="59A84B06"/>
    <w:rsid w:val="59B014A3"/>
    <w:rsid w:val="59B05DB3"/>
    <w:rsid w:val="59D04D4F"/>
    <w:rsid w:val="59D51EEC"/>
    <w:rsid w:val="59DA6BF7"/>
    <w:rsid w:val="59E37225"/>
    <w:rsid w:val="5A0C6784"/>
    <w:rsid w:val="5A272E2C"/>
    <w:rsid w:val="5A2921FA"/>
    <w:rsid w:val="5A4B01B0"/>
    <w:rsid w:val="5A4B611D"/>
    <w:rsid w:val="5A4D3444"/>
    <w:rsid w:val="5A5C0A61"/>
    <w:rsid w:val="5A682201"/>
    <w:rsid w:val="5A6F65C2"/>
    <w:rsid w:val="5A8B4626"/>
    <w:rsid w:val="5AA453D4"/>
    <w:rsid w:val="5AB4402F"/>
    <w:rsid w:val="5AEA1628"/>
    <w:rsid w:val="5AF63138"/>
    <w:rsid w:val="5AF7549A"/>
    <w:rsid w:val="5AFF3461"/>
    <w:rsid w:val="5B141A61"/>
    <w:rsid w:val="5B1E41F8"/>
    <w:rsid w:val="5B1E6E24"/>
    <w:rsid w:val="5B2118F7"/>
    <w:rsid w:val="5B4C1057"/>
    <w:rsid w:val="5B603D7C"/>
    <w:rsid w:val="5B885541"/>
    <w:rsid w:val="5BB4249E"/>
    <w:rsid w:val="5BD777E6"/>
    <w:rsid w:val="5C122D5E"/>
    <w:rsid w:val="5C330BCF"/>
    <w:rsid w:val="5C733038"/>
    <w:rsid w:val="5C737D2C"/>
    <w:rsid w:val="5C7E6E4B"/>
    <w:rsid w:val="5C817DEC"/>
    <w:rsid w:val="5C8F2968"/>
    <w:rsid w:val="5C9A2097"/>
    <w:rsid w:val="5CAB6A15"/>
    <w:rsid w:val="5CAC7202"/>
    <w:rsid w:val="5CB26DE8"/>
    <w:rsid w:val="5CDF0D57"/>
    <w:rsid w:val="5CE738DA"/>
    <w:rsid w:val="5CF1718A"/>
    <w:rsid w:val="5D1B7965"/>
    <w:rsid w:val="5D365596"/>
    <w:rsid w:val="5D446203"/>
    <w:rsid w:val="5D476B7B"/>
    <w:rsid w:val="5D52647E"/>
    <w:rsid w:val="5D5668B3"/>
    <w:rsid w:val="5D6C32DC"/>
    <w:rsid w:val="5D8C1586"/>
    <w:rsid w:val="5D8F380B"/>
    <w:rsid w:val="5D906018"/>
    <w:rsid w:val="5D911291"/>
    <w:rsid w:val="5D9A6C97"/>
    <w:rsid w:val="5D9B7BB6"/>
    <w:rsid w:val="5DA452EC"/>
    <w:rsid w:val="5DB67994"/>
    <w:rsid w:val="5DC0655D"/>
    <w:rsid w:val="5DE35818"/>
    <w:rsid w:val="5DEA5196"/>
    <w:rsid w:val="5DFB71CE"/>
    <w:rsid w:val="5E3E5798"/>
    <w:rsid w:val="5E4B1131"/>
    <w:rsid w:val="5E7110B5"/>
    <w:rsid w:val="5E7B3AF8"/>
    <w:rsid w:val="5E8A14A9"/>
    <w:rsid w:val="5E952F92"/>
    <w:rsid w:val="5EA4026E"/>
    <w:rsid w:val="5EB804F7"/>
    <w:rsid w:val="5EC41684"/>
    <w:rsid w:val="5EDB3C26"/>
    <w:rsid w:val="5F1C698C"/>
    <w:rsid w:val="5F2E10CF"/>
    <w:rsid w:val="5F393BBF"/>
    <w:rsid w:val="5F503E46"/>
    <w:rsid w:val="5F5825D3"/>
    <w:rsid w:val="5F6B6599"/>
    <w:rsid w:val="5FA97E40"/>
    <w:rsid w:val="5FB07830"/>
    <w:rsid w:val="5FB15CCE"/>
    <w:rsid w:val="5FBB41EB"/>
    <w:rsid w:val="5FD149C5"/>
    <w:rsid w:val="5FD501C7"/>
    <w:rsid w:val="5FE71C0A"/>
    <w:rsid w:val="5FFD3F1E"/>
    <w:rsid w:val="600B0C58"/>
    <w:rsid w:val="600B2AA4"/>
    <w:rsid w:val="600D74F7"/>
    <w:rsid w:val="60195438"/>
    <w:rsid w:val="601A2EBA"/>
    <w:rsid w:val="60261E8C"/>
    <w:rsid w:val="6028529C"/>
    <w:rsid w:val="605C6A77"/>
    <w:rsid w:val="607A0954"/>
    <w:rsid w:val="60843A2C"/>
    <w:rsid w:val="608E3C91"/>
    <w:rsid w:val="60990088"/>
    <w:rsid w:val="60997EB4"/>
    <w:rsid w:val="60A3539C"/>
    <w:rsid w:val="60AC022A"/>
    <w:rsid w:val="60C56EFB"/>
    <w:rsid w:val="60D11363"/>
    <w:rsid w:val="60D47226"/>
    <w:rsid w:val="60E46266"/>
    <w:rsid w:val="60E63CC9"/>
    <w:rsid w:val="610A75F8"/>
    <w:rsid w:val="61115D0C"/>
    <w:rsid w:val="61277B74"/>
    <w:rsid w:val="61336954"/>
    <w:rsid w:val="616748AA"/>
    <w:rsid w:val="616D69D4"/>
    <w:rsid w:val="61886913"/>
    <w:rsid w:val="619929B6"/>
    <w:rsid w:val="61AF068E"/>
    <w:rsid w:val="61BF76A4"/>
    <w:rsid w:val="61C77DA0"/>
    <w:rsid w:val="61D07906"/>
    <w:rsid w:val="61E345CA"/>
    <w:rsid w:val="61E736CF"/>
    <w:rsid w:val="621351F3"/>
    <w:rsid w:val="62360387"/>
    <w:rsid w:val="626604B9"/>
    <w:rsid w:val="628864B6"/>
    <w:rsid w:val="62A65A66"/>
    <w:rsid w:val="62A821BB"/>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A9429A"/>
    <w:rsid w:val="64B557C6"/>
    <w:rsid w:val="64C762EE"/>
    <w:rsid w:val="64C8331B"/>
    <w:rsid w:val="64F62FBF"/>
    <w:rsid w:val="6505464C"/>
    <w:rsid w:val="650F715A"/>
    <w:rsid w:val="65277BFE"/>
    <w:rsid w:val="65355B53"/>
    <w:rsid w:val="65445B42"/>
    <w:rsid w:val="655C775B"/>
    <w:rsid w:val="656C74F3"/>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13640E"/>
    <w:rsid w:val="671B5AC7"/>
    <w:rsid w:val="673335DC"/>
    <w:rsid w:val="678D29F1"/>
    <w:rsid w:val="678E0472"/>
    <w:rsid w:val="67940B85"/>
    <w:rsid w:val="67976B83"/>
    <w:rsid w:val="67A40D91"/>
    <w:rsid w:val="67AD7C40"/>
    <w:rsid w:val="67DC52AF"/>
    <w:rsid w:val="67EB4E2E"/>
    <w:rsid w:val="67FB2D76"/>
    <w:rsid w:val="68014F5D"/>
    <w:rsid w:val="680F1CC5"/>
    <w:rsid w:val="6819213A"/>
    <w:rsid w:val="681D772A"/>
    <w:rsid w:val="686F60CA"/>
    <w:rsid w:val="687B4BF8"/>
    <w:rsid w:val="688504B1"/>
    <w:rsid w:val="688F307D"/>
    <w:rsid w:val="689D333D"/>
    <w:rsid w:val="68B85685"/>
    <w:rsid w:val="68DC3063"/>
    <w:rsid w:val="68E1201D"/>
    <w:rsid w:val="68EB3277"/>
    <w:rsid w:val="68EC0422"/>
    <w:rsid w:val="6923694C"/>
    <w:rsid w:val="69237EF2"/>
    <w:rsid w:val="69241843"/>
    <w:rsid w:val="695D1FE3"/>
    <w:rsid w:val="696714E2"/>
    <w:rsid w:val="6969738E"/>
    <w:rsid w:val="69725190"/>
    <w:rsid w:val="697A1E70"/>
    <w:rsid w:val="69840D94"/>
    <w:rsid w:val="698A6FB3"/>
    <w:rsid w:val="69966649"/>
    <w:rsid w:val="69D81118"/>
    <w:rsid w:val="69DE4130"/>
    <w:rsid w:val="6A0016F1"/>
    <w:rsid w:val="6A7449B2"/>
    <w:rsid w:val="6A9929F4"/>
    <w:rsid w:val="6ACB2E33"/>
    <w:rsid w:val="6ACC52E9"/>
    <w:rsid w:val="6ACF763D"/>
    <w:rsid w:val="6AD63A5F"/>
    <w:rsid w:val="6AE01CC6"/>
    <w:rsid w:val="6AED54C5"/>
    <w:rsid w:val="6B2A231E"/>
    <w:rsid w:val="6B2E7664"/>
    <w:rsid w:val="6B586ED0"/>
    <w:rsid w:val="6B940900"/>
    <w:rsid w:val="6B9659D1"/>
    <w:rsid w:val="6B992596"/>
    <w:rsid w:val="6BA40927"/>
    <w:rsid w:val="6BAC5136"/>
    <w:rsid w:val="6BB37DB8"/>
    <w:rsid w:val="6BBC4E35"/>
    <w:rsid w:val="6BC37142"/>
    <w:rsid w:val="6BC859EC"/>
    <w:rsid w:val="6BCB1147"/>
    <w:rsid w:val="6BDC2697"/>
    <w:rsid w:val="6BF16ADA"/>
    <w:rsid w:val="6C0B4072"/>
    <w:rsid w:val="6C105A58"/>
    <w:rsid w:val="6C1364EE"/>
    <w:rsid w:val="6C223623"/>
    <w:rsid w:val="6C2B3181"/>
    <w:rsid w:val="6C67289A"/>
    <w:rsid w:val="6C895159"/>
    <w:rsid w:val="6C9D138F"/>
    <w:rsid w:val="6CC47F2E"/>
    <w:rsid w:val="6CD00E99"/>
    <w:rsid w:val="6CEF2A56"/>
    <w:rsid w:val="6D1D2712"/>
    <w:rsid w:val="6D205895"/>
    <w:rsid w:val="6D711158"/>
    <w:rsid w:val="6D717C1E"/>
    <w:rsid w:val="6D7C7BAA"/>
    <w:rsid w:val="6D8433BC"/>
    <w:rsid w:val="6D8455BA"/>
    <w:rsid w:val="6D920153"/>
    <w:rsid w:val="6D9963A7"/>
    <w:rsid w:val="6DA16A1C"/>
    <w:rsid w:val="6DA72D47"/>
    <w:rsid w:val="6DAF1C81"/>
    <w:rsid w:val="6DAF4A10"/>
    <w:rsid w:val="6DD250A5"/>
    <w:rsid w:val="6DE90B62"/>
    <w:rsid w:val="6E005087"/>
    <w:rsid w:val="6E025356"/>
    <w:rsid w:val="6E0E5A2B"/>
    <w:rsid w:val="6E2B203D"/>
    <w:rsid w:val="6E3D6D0E"/>
    <w:rsid w:val="6E420B2D"/>
    <w:rsid w:val="6E4474A8"/>
    <w:rsid w:val="6E7521C9"/>
    <w:rsid w:val="6E7C3D78"/>
    <w:rsid w:val="6E9C6079"/>
    <w:rsid w:val="6EA25D92"/>
    <w:rsid w:val="6EA51FEB"/>
    <w:rsid w:val="6EB754FC"/>
    <w:rsid w:val="6EBF447C"/>
    <w:rsid w:val="6ECD2EFE"/>
    <w:rsid w:val="6EF967A0"/>
    <w:rsid w:val="6EFD396C"/>
    <w:rsid w:val="6F0674FF"/>
    <w:rsid w:val="6F2F0E79"/>
    <w:rsid w:val="6F3F3691"/>
    <w:rsid w:val="6F49144D"/>
    <w:rsid w:val="6F8A5194"/>
    <w:rsid w:val="6F944668"/>
    <w:rsid w:val="6FA40E37"/>
    <w:rsid w:val="6FC05107"/>
    <w:rsid w:val="6FCB133A"/>
    <w:rsid w:val="6FEC122C"/>
    <w:rsid w:val="6FF35ED1"/>
    <w:rsid w:val="700B3C9A"/>
    <w:rsid w:val="700E3F90"/>
    <w:rsid w:val="702B4594"/>
    <w:rsid w:val="70471141"/>
    <w:rsid w:val="705169D2"/>
    <w:rsid w:val="705F3769"/>
    <w:rsid w:val="706E7C5A"/>
    <w:rsid w:val="70734988"/>
    <w:rsid w:val="709D4BC6"/>
    <w:rsid w:val="70A86CD7"/>
    <w:rsid w:val="70B712FE"/>
    <w:rsid w:val="70BA0B48"/>
    <w:rsid w:val="70E7043C"/>
    <w:rsid w:val="70F80464"/>
    <w:rsid w:val="710160B5"/>
    <w:rsid w:val="71043090"/>
    <w:rsid w:val="71155816"/>
    <w:rsid w:val="712041AC"/>
    <w:rsid w:val="712B420C"/>
    <w:rsid w:val="713A694F"/>
    <w:rsid w:val="713C1E52"/>
    <w:rsid w:val="7140235F"/>
    <w:rsid w:val="7144725F"/>
    <w:rsid w:val="71633397"/>
    <w:rsid w:val="717133FA"/>
    <w:rsid w:val="717B0A3E"/>
    <w:rsid w:val="717D0177"/>
    <w:rsid w:val="71847F3E"/>
    <w:rsid w:val="71A053FA"/>
    <w:rsid w:val="71C139F6"/>
    <w:rsid w:val="71D12075"/>
    <w:rsid w:val="71DB0593"/>
    <w:rsid w:val="71F64B04"/>
    <w:rsid w:val="720A7028"/>
    <w:rsid w:val="721037CA"/>
    <w:rsid w:val="7216791F"/>
    <w:rsid w:val="722A4105"/>
    <w:rsid w:val="72527F77"/>
    <w:rsid w:val="72606732"/>
    <w:rsid w:val="726561BD"/>
    <w:rsid w:val="729A0EE0"/>
    <w:rsid w:val="72A02D30"/>
    <w:rsid w:val="72B41A3F"/>
    <w:rsid w:val="72BF6CA4"/>
    <w:rsid w:val="72C00DB2"/>
    <w:rsid w:val="72C309D4"/>
    <w:rsid w:val="72F05AD1"/>
    <w:rsid w:val="73085C4E"/>
    <w:rsid w:val="733C2B39"/>
    <w:rsid w:val="734B707A"/>
    <w:rsid w:val="735636FE"/>
    <w:rsid w:val="73610221"/>
    <w:rsid w:val="73616C5B"/>
    <w:rsid w:val="736F4A32"/>
    <w:rsid w:val="73923252"/>
    <w:rsid w:val="73A52ADB"/>
    <w:rsid w:val="73F04490"/>
    <w:rsid w:val="73F77156"/>
    <w:rsid w:val="73FA64D3"/>
    <w:rsid w:val="740857E9"/>
    <w:rsid w:val="74230A74"/>
    <w:rsid w:val="74434489"/>
    <w:rsid w:val="74447BCC"/>
    <w:rsid w:val="744C388B"/>
    <w:rsid w:val="745154C4"/>
    <w:rsid w:val="74623260"/>
    <w:rsid w:val="7468238A"/>
    <w:rsid w:val="746D2F8F"/>
    <w:rsid w:val="747B3F9D"/>
    <w:rsid w:val="749651AF"/>
    <w:rsid w:val="749C4A3B"/>
    <w:rsid w:val="74AF290C"/>
    <w:rsid w:val="74C32DC7"/>
    <w:rsid w:val="74CF77B0"/>
    <w:rsid w:val="74D96DC8"/>
    <w:rsid w:val="74DE7873"/>
    <w:rsid w:val="74EC0BE3"/>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3273F7"/>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87154"/>
    <w:rsid w:val="772911F0"/>
    <w:rsid w:val="773A73DD"/>
    <w:rsid w:val="77540EAB"/>
    <w:rsid w:val="775E4966"/>
    <w:rsid w:val="77720FB5"/>
    <w:rsid w:val="77760FFC"/>
    <w:rsid w:val="77896AA4"/>
    <w:rsid w:val="77A23473"/>
    <w:rsid w:val="77CC63EB"/>
    <w:rsid w:val="77E34BBF"/>
    <w:rsid w:val="77EE514F"/>
    <w:rsid w:val="77F24622"/>
    <w:rsid w:val="78342D62"/>
    <w:rsid w:val="786A2128"/>
    <w:rsid w:val="787378B8"/>
    <w:rsid w:val="787F5E0E"/>
    <w:rsid w:val="789A41C2"/>
    <w:rsid w:val="78AF300E"/>
    <w:rsid w:val="78B86A6C"/>
    <w:rsid w:val="78BD3A05"/>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D548EA"/>
    <w:rsid w:val="79DD070F"/>
    <w:rsid w:val="79F57AA2"/>
    <w:rsid w:val="7A024427"/>
    <w:rsid w:val="7A2902FC"/>
    <w:rsid w:val="7A543032"/>
    <w:rsid w:val="7A7747EC"/>
    <w:rsid w:val="7A883FEE"/>
    <w:rsid w:val="7AA51AE9"/>
    <w:rsid w:val="7AB93063"/>
    <w:rsid w:val="7ABF07F0"/>
    <w:rsid w:val="7ACD1F05"/>
    <w:rsid w:val="7ACF3A41"/>
    <w:rsid w:val="7ADC6EC3"/>
    <w:rsid w:val="7ADE198C"/>
    <w:rsid w:val="7B111CB9"/>
    <w:rsid w:val="7B3B0CF5"/>
    <w:rsid w:val="7B402043"/>
    <w:rsid w:val="7B587D8B"/>
    <w:rsid w:val="7B5F4AF6"/>
    <w:rsid w:val="7B6446E7"/>
    <w:rsid w:val="7B7421C6"/>
    <w:rsid w:val="7B897F9C"/>
    <w:rsid w:val="7B8B6C3F"/>
    <w:rsid w:val="7B974C50"/>
    <w:rsid w:val="7BA20696"/>
    <w:rsid w:val="7BAF4A60"/>
    <w:rsid w:val="7BBF0DE6"/>
    <w:rsid w:val="7BC94525"/>
    <w:rsid w:val="7BCA41A5"/>
    <w:rsid w:val="7BDE0036"/>
    <w:rsid w:val="7BE90B2B"/>
    <w:rsid w:val="7C0C42D3"/>
    <w:rsid w:val="7C2D09C7"/>
    <w:rsid w:val="7C420509"/>
    <w:rsid w:val="7C5F39D5"/>
    <w:rsid w:val="7C607F1C"/>
    <w:rsid w:val="7C853942"/>
    <w:rsid w:val="7C9021AA"/>
    <w:rsid w:val="7C9B2DE8"/>
    <w:rsid w:val="7CAA7097"/>
    <w:rsid w:val="7CB637D9"/>
    <w:rsid w:val="7CBA3DB9"/>
    <w:rsid w:val="7CE615AE"/>
    <w:rsid w:val="7CEF733F"/>
    <w:rsid w:val="7CF96612"/>
    <w:rsid w:val="7D0261D9"/>
    <w:rsid w:val="7D296539"/>
    <w:rsid w:val="7D2A34EB"/>
    <w:rsid w:val="7D3014EE"/>
    <w:rsid w:val="7D4D65D6"/>
    <w:rsid w:val="7D5A7F7D"/>
    <w:rsid w:val="7D6361EF"/>
    <w:rsid w:val="7D696B90"/>
    <w:rsid w:val="7D6A3C51"/>
    <w:rsid w:val="7D80686A"/>
    <w:rsid w:val="7D9010A7"/>
    <w:rsid w:val="7D9646F1"/>
    <w:rsid w:val="7D983CB5"/>
    <w:rsid w:val="7DA13DAB"/>
    <w:rsid w:val="7DAC06B5"/>
    <w:rsid w:val="7DAE2712"/>
    <w:rsid w:val="7DAF34AA"/>
    <w:rsid w:val="7DB36FB1"/>
    <w:rsid w:val="7DB52379"/>
    <w:rsid w:val="7DB76B9E"/>
    <w:rsid w:val="7DDA72F8"/>
    <w:rsid w:val="7E3434E3"/>
    <w:rsid w:val="7E3E74AD"/>
    <w:rsid w:val="7E497A3C"/>
    <w:rsid w:val="7E4C58A3"/>
    <w:rsid w:val="7E5073C7"/>
    <w:rsid w:val="7E610386"/>
    <w:rsid w:val="7E7E34B2"/>
    <w:rsid w:val="7E9C40FF"/>
    <w:rsid w:val="7EA128FE"/>
    <w:rsid w:val="7EAA45DE"/>
    <w:rsid w:val="7EC20180"/>
    <w:rsid w:val="7EC32A29"/>
    <w:rsid w:val="7ECC4429"/>
    <w:rsid w:val="7ED812E4"/>
    <w:rsid w:val="7EEE7388"/>
    <w:rsid w:val="7EF02F3D"/>
    <w:rsid w:val="7F0B337E"/>
    <w:rsid w:val="7F0C450C"/>
    <w:rsid w:val="7F122D08"/>
    <w:rsid w:val="7F28568F"/>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35"/>
    <w:qFormat/>
    <w:uiPriority w:val="9"/>
    <w:pPr>
      <w:keepNext/>
      <w:keepLines/>
      <w:spacing w:before="340" w:after="330" w:line="578" w:lineRule="auto"/>
      <w:outlineLvl w:val="0"/>
    </w:pPr>
    <w:rPr>
      <w:rFonts w:eastAsia="仿宋_GB2312"/>
      <w:b/>
      <w:bCs/>
      <w:kern w:val="44"/>
      <w:sz w:val="24"/>
      <w:szCs w:val="44"/>
    </w:rPr>
  </w:style>
  <w:style w:type="paragraph" w:styleId="6">
    <w:name w:val="heading 2"/>
    <w:basedOn w:val="1"/>
    <w:next w:val="1"/>
    <w:link w:val="34"/>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7">
    <w:name w:val="heading 3"/>
    <w:basedOn w:val="1"/>
    <w:next w:val="1"/>
    <w:link w:val="33"/>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tabs>
        <w:tab w:val="left" w:pos="992"/>
      </w:tabs>
      <w:spacing w:after="120"/>
      <w:ind w:left="420" w:leftChars="200" w:firstLine="420"/>
    </w:pPr>
    <w:rPr>
      <w:bCs/>
    </w:rPr>
  </w:style>
  <w:style w:type="paragraph" w:styleId="3">
    <w:name w:val="Body Text Indent"/>
    <w:basedOn w:val="1"/>
    <w:qFormat/>
    <w:uiPriority w:val="0"/>
    <w:pPr>
      <w:tabs>
        <w:tab w:val="left" w:pos="992"/>
      </w:tabs>
      <w:ind w:firstLine="560" w:firstLineChars="200"/>
    </w:pPr>
  </w:style>
  <w:style w:type="paragraph" w:customStyle="1" w:styleId="4">
    <w:name w:val="正文格式"/>
    <w:basedOn w:val="1"/>
    <w:qFormat/>
    <w:uiPriority w:val="99"/>
    <w:pPr>
      <w:widowControl/>
      <w:autoSpaceDE/>
      <w:autoSpaceDN/>
      <w:adjustRightInd w:val="0"/>
      <w:snapToGrid w:val="0"/>
      <w:spacing w:beforeLines="50" w:afterLines="50" w:line="360" w:lineRule="atLeast"/>
      <w:ind w:left="200" w:leftChars="200" w:firstLine="482"/>
      <w:jc w:val="both"/>
      <w:textAlignment w:val="baseline"/>
    </w:pPr>
    <w:rPr>
      <w:rFonts w:ascii="Calibri" w:hAnsi="Calibri" w:eastAsia="宋体" w:cs="Times New Roman"/>
      <w:sz w:val="24"/>
      <w:szCs w:val="24"/>
      <w:lang w:val="en-US" w:eastAsia="en-US" w:bidi="ar-SA"/>
    </w:rPr>
  </w:style>
  <w:style w:type="paragraph" w:styleId="8">
    <w:name w:val="Normal Indent"/>
    <w:basedOn w:val="1"/>
    <w:unhideWhenUsed/>
    <w:qFormat/>
    <w:uiPriority w:val="99"/>
    <w:pPr>
      <w:widowControl w:val="0"/>
      <w:spacing w:after="0" w:line="288" w:lineRule="auto"/>
      <w:ind w:firstLine="680"/>
      <w:jc w:val="both"/>
    </w:pPr>
    <w:rPr>
      <w:rFonts w:ascii="楷体_GB2312" w:eastAsia="宋体" w:cs="Times New Roman"/>
      <w:color w:val="auto"/>
      <w:sz w:val="32"/>
      <w:szCs w:val="32"/>
    </w:rPr>
  </w:style>
  <w:style w:type="paragraph" w:styleId="9">
    <w:name w:val="annotation text"/>
    <w:basedOn w:val="1"/>
    <w:unhideWhenUsed/>
    <w:qFormat/>
    <w:uiPriority w:val="99"/>
    <w:pPr>
      <w:jc w:val="left"/>
    </w:pPr>
  </w:style>
  <w:style w:type="paragraph" w:styleId="10">
    <w:name w:val="Body Text"/>
    <w:basedOn w:val="1"/>
    <w:qFormat/>
    <w:uiPriority w:val="1"/>
    <w:rPr>
      <w:rFonts w:ascii="宋体" w:hAnsi="宋体" w:eastAsia="宋体" w:cs="宋体"/>
      <w:sz w:val="21"/>
      <w:szCs w:val="21"/>
      <w:lang w:val="zh-CN" w:eastAsia="zh-CN" w:bidi="zh-CN"/>
    </w:rPr>
  </w:style>
  <w:style w:type="paragraph" w:styleId="11">
    <w:name w:val="Plain Text"/>
    <w:basedOn w:val="1"/>
    <w:unhideWhenUsed/>
    <w:qFormat/>
    <w:uiPriority w:val="0"/>
    <w:rPr>
      <w:rFonts w:ascii="宋体" w:hAnsi="Courier New" w:eastAsia="宋体" w:cs="Times New Roman"/>
      <w:szCs w:val="21"/>
      <w:lang w:val="en-US" w:eastAsia="zh-CN" w:bidi="ar-SA"/>
    </w:rPr>
  </w:style>
  <w:style w:type="paragraph" w:styleId="12">
    <w:name w:val="Date"/>
    <w:basedOn w:val="1"/>
    <w:next w:val="1"/>
    <w:qFormat/>
    <w:uiPriority w:val="0"/>
    <w:rPr>
      <w:rFonts w:ascii="Times New Roman" w:hAnsi="Times New Roman" w:cs="Times New Roman"/>
      <w:kern w:val="0"/>
      <w:sz w:val="20"/>
      <w:szCs w:val="20"/>
    </w:rPr>
  </w:style>
  <w:style w:type="paragraph" w:styleId="13">
    <w:name w:val="Balloon Text"/>
    <w:basedOn w:val="1"/>
    <w:link w:val="32"/>
    <w:unhideWhenUsed/>
    <w:qFormat/>
    <w:uiPriority w:val="99"/>
    <w:rPr>
      <w:sz w:val="18"/>
      <w:szCs w:val="18"/>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left" w:pos="1050"/>
        <w:tab w:val="right" w:leader="dot" w:pos="8296"/>
      </w:tabs>
    </w:pPr>
  </w:style>
  <w:style w:type="paragraph" w:styleId="17">
    <w:name w:val="toc 2"/>
    <w:basedOn w:val="1"/>
    <w:next w:val="1"/>
    <w:unhideWhenUsed/>
    <w:qFormat/>
    <w:uiPriority w:val="39"/>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9"/>
    <w:next w:val="16"/>
    <w:semiHidden/>
    <w:qFormat/>
    <w:uiPriority w:val="0"/>
    <w:rPr>
      <w:b/>
      <w:bCs/>
    </w:rPr>
  </w:style>
  <w:style w:type="table" w:styleId="21">
    <w:name w:val="Table Grid"/>
    <w:basedOn w:val="2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unhideWhenUsed/>
    <w:qFormat/>
    <w:uiPriority w:val="0"/>
  </w:style>
  <w:style w:type="character" w:styleId="24">
    <w:name w:val="Hyperlink"/>
    <w:unhideWhenUsed/>
    <w:qFormat/>
    <w:uiPriority w:val="99"/>
    <w:rPr>
      <w:color w:val="0000FF"/>
      <w:u w:val="single"/>
    </w:rPr>
  </w:style>
  <w:style w:type="paragraph" w:customStyle="1" w:styleId="25">
    <w:name w:val="汇编标题1"/>
    <w:basedOn w:val="5"/>
    <w:next w:val="26"/>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6">
    <w:name w:val="汇编正文"/>
    <w:basedOn w:val="1"/>
    <w:next w:val="27"/>
    <w:qFormat/>
    <w:uiPriority w:val="99"/>
    <w:pPr>
      <w:snapToGrid w:val="0"/>
      <w:spacing w:line="360" w:lineRule="atLeast"/>
    </w:pPr>
    <w:rPr>
      <w:color w:val="000000"/>
      <w:lang w:val="zh-CN"/>
    </w:rPr>
  </w:style>
  <w:style w:type="paragraph" w:customStyle="1" w:styleId="27">
    <w:name w:val="样式 标题 1 + 黑体 三号 非加粗 居中 段前: 6 磅 段后: 6 磅 行距: 固定值 20 磅"/>
    <w:basedOn w:val="5"/>
    <w:next w:val="19"/>
    <w:qFormat/>
    <w:uiPriority w:val="0"/>
    <w:pPr>
      <w:spacing w:before="120" w:after="120" w:line="400" w:lineRule="exact"/>
      <w:jc w:val="center"/>
    </w:pPr>
    <w:rPr>
      <w:rFonts w:ascii="黑体" w:hAnsi="黑体" w:eastAsia="黑体" w:cs="宋体"/>
      <w:b w:val="0"/>
      <w:sz w:val="32"/>
      <w:szCs w:val="20"/>
    </w:rPr>
  </w:style>
  <w:style w:type="paragraph" w:customStyle="1" w:styleId="28">
    <w:name w:val="列出段落1"/>
    <w:basedOn w:val="1"/>
    <w:qFormat/>
    <w:uiPriority w:val="34"/>
    <w:pPr>
      <w:ind w:firstLine="420" w:firstLineChars="200"/>
    </w:pPr>
  </w:style>
  <w:style w:type="paragraph" w:customStyle="1" w:styleId="29">
    <w:name w:val="TOC 标题1"/>
    <w:basedOn w:val="5"/>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30">
    <w:name w:val="页眉 Char"/>
    <w:link w:val="15"/>
    <w:semiHidden/>
    <w:qFormat/>
    <w:uiPriority w:val="99"/>
    <w:rPr>
      <w:sz w:val="18"/>
      <w:szCs w:val="18"/>
    </w:rPr>
  </w:style>
  <w:style w:type="character" w:customStyle="1" w:styleId="31">
    <w:name w:val="页脚 Char"/>
    <w:link w:val="14"/>
    <w:semiHidden/>
    <w:qFormat/>
    <w:uiPriority w:val="99"/>
    <w:rPr>
      <w:sz w:val="18"/>
      <w:szCs w:val="18"/>
    </w:rPr>
  </w:style>
  <w:style w:type="character" w:customStyle="1" w:styleId="32">
    <w:name w:val="批注框文本 Char"/>
    <w:link w:val="13"/>
    <w:semiHidden/>
    <w:qFormat/>
    <w:uiPriority w:val="99"/>
    <w:rPr>
      <w:sz w:val="18"/>
      <w:szCs w:val="18"/>
    </w:rPr>
  </w:style>
  <w:style w:type="character" w:customStyle="1" w:styleId="33">
    <w:name w:val="标题 3 Char"/>
    <w:link w:val="7"/>
    <w:qFormat/>
    <w:uiPriority w:val="9"/>
    <w:rPr>
      <w:rFonts w:ascii="仿宋" w:hAnsi="仿宋" w:eastAsia="仿宋_GB2312" w:cs="Times New Roman"/>
      <w:bCs/>
      <w:sz w:val="28"/>
      <w:szCs w:val="32"/>
    </w:rPr>
  </w:style>
  <w:style w:type="character" w:customStyle="1" w:styleId="34">
    <w:name w:val="标题 2 Char"/>
    <w:link w:val="6"/>
    <w:qFormat/>
    <w:uiPriority w:val="9"/>
    <w:rPr>
      <w:rFonts w:ascii="Cambria" w:hAnsi="Cambria" w:eastAsia="仿宋_GB2312"/>
      <w:b/>
      <w:bCs/>
      <w:sz w:val="30"/>
      <w:szCs w:val="32"/>
    </w:rPr>
  </w:style>
  <w:style w:type="character" w:customStyle="1" w:styleId="35">
    <w:name w:val="标题 1 Char"/>
    <w:link w:val="5"/>
    <w:qFormat/>
    <w:uiPriority w:val="9"/>
    <w:rPr>
      <w:rFonts w:eastAsia="仿宋_GB2312"/>
      <w:b/>
      <w:bCs/>
      <w:kern w:val="44"/>
      <w:sz w:val="24"/>
      <w:szCs w:val="44"/>
    </w:rPr>
  </w:style>
  <w:style w:type="paragraph" w:customStyle="1" w:styleId="36">
    <w:name w:val="Default"/>
    <w:next w:val="12"/>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paragraph" w:customStyle="1" w:styleId="37">
    <w:name w:val="1"/>
    <w:basedOn w:val="1"/>
    <w:qFormat/>
    <w:uiPriority w:val="0"/>
    <w:rPr>
      <w:szCs w:val="21"/>
    </w:rPr>
  </w:style>
  <w:style w:type="paragraph" w:customStyle="1" w:styleId="38">
    <w:name w:val="Table Paragraph"/>
    <w:basedOn w:val="1"/>
    <w:qFormat/>
    <w:uiPriority w:val="99"/>
  </w:style>
  <w:style w:type="table" w:customStyle="1" w:styleId="3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9264</Words>
  <Characters>9691</Characters>
  <Lines>50</Lines>
  <Paragraphs>14</Paragraphs>
  <TotalTime>0</TotalTime>
  <ScaleCrop>false</ScaleCrop>
  <LinksUpToDate>false</LinksUpToDate>
  <CharactersWithSpaces>10695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亚历山·小</cp:lastModifiedBy>
  <cp:lastPrinted>2024-06-24T03:06:00Z</cp:lastPrinted>
  <dcterms:modified xsi:type="dcterms:W3CDTF">2024-06-25T08:04:26Z</dcterms:modified>
  <dc:title>中建七局华北公司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46168D54967F4CA1A78A2C3E3A6CEEA8_13</vt:lpwstr>
  </property>
</Properties>
</file>