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bookmarkStart w:id="0" w:name="_Toc343700737"/>
      <w:bookmarkStart w:id="1" w:name="_Toc343692939"/>
      <w:r>
        <w:rPr>
          <w:rFonts w:hint="eastAsia"/>
        </w:rPr>
        <w:t xml:space="preserve">   </w:t>
      </w:r>
      <w:r>
        <w:rPr>
          <w:rFonts w:hint="eastAsia"/>
          <w:lang w:val="en-US" w:eastAsia="zh-CN"/>
        </w:rPr>
        <w:t xml:space="preserve"> </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海南洋浦陆海国际贸易有限公司</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 xml:space="preserve">砂石临时采购                               </w:t>
      </w: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询</w:t>
      </w:r>
    </w:p>
    <w:p>
      <w:pPr>
        <w:spacing w:line="380" w:lineRule="atLeast"/>
        <w:ind w:left="-199" w:leftChars="-95"/>
        <w:jc w:val="center"/>
        <w:rPr>
          <w:rFonts w:hint="default"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比</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价</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文</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 xml:space="preserve">件                  </w:t>
      </w:r>
    </w:p>
    <w:p>
      <w:pPr>
        <w:pStyle w:val="4"/>
      </w:pPr>
    </w:p>
    <w:p>
      <w:pPr>
        <w:pStyle w:val="4"/>
      </w:pPr>
    </w:p>
    <w:p/>
    <w:p/>
    <w:p>
      <w:pPr>
        <w:pStyle w:val="25"/>
        <w:numPr>
          <w:ilvl w:val="0"/>
          <w:numId w:val="1"/>
        </w:numPr>
        <w:spacing w:line="360" w:lineRule="exact"/>
        <w:ind w:firstLineChars="0"/>
        <w:jc w:val="center"/>
        <w:rPr>
          <w:rFonts w:hint="eastAsia" w:ascii="楷体_GB2312" w:hAnsi="楷体_GB2312" w:eastAsia="楷体_GB2312" w:cs="楷体_GB2312"/>
          <w:sz w:val="24"/>
          <w:szCs w:val="24"/>
        </w:rPr>
      </w:pPr>
      <w:r>
        <w:rPr>
          <w:rFonts w:hint="eastAsia" w:ascii="楷体_GB2312" w:hAnsi="楷体_GB2312" w:eastAsia="楷体_GB2312" w:cs="楷体_GB2312"/>
          <w:b/>
          <w:bCs/>
          <w:sz w:val="24"/>
          <w:szCs w:val="24"/>
          <w:lang w:val="en-US" w:eastAsia="zh-CN"/>
        </w:rPr>
        <w:t>询价函</w:t>
      </w:r>
    </w:p>
    <w:p>
      <w:pPr>
        <w:adjustRightInd w:val="0"/>
        <w:snapToGrid w:val="0"/>
        <w:spacing w:line="360" w:lineRule="exact"/>
        <w:jc w:val="right"/>
        <w:rPr>
          <w:rFonts w:hint="default" w:ascii="楷体_GB2312" w:hAnsi="楷体_GB2312" w:eastAsia="楷体_GB2312" w:cs="楷体_GB2312"/>
          <w:sz w:val="24"/>
          <w:szCs w:val="24"/>
          <w:lang w:val="en-US"/>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
    <w:tbl>
      <w:tblPr>
        <w:tblStyle w:val="17"/>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17"/>
        <w:gridCol w:w="5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613" w:type="dxa"/>
            <w:gridSpan w:val="3"/>
            <w:tcBorders>
              <w:top w:val="single" w:color="auto" w:sz="8" w:space="0"/>
            </w:tcBorders>
            <w:vAlign w:val="center"/>
          </w:tcPr>
          <w:p>
            <w:pPr>
              <w:spacing w:line="360" w:lineRule="atLeast"/>
              <w:ind w:firstLine="480" w:firstLineChars="200"/>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lang w:val="en-US" w:eastAsia="zh-CN"/>
              </w:rPr>
              <w:t>海南洋浦陆海国际贸易有限公司</w:t>
            </w:r>
            <w:r>
              <w:rPr>
                <w:rFonts w:hint="eastAsia" w:ascii="楷体_GB2312" w:hAnsi="楷体_GB2312" w:eastAsia="楷体_GB2312" w:cs="楷体_GB2312"/>
                <w:sz w:val="24"/>
                <w:szCs w:val="24"/>
                <w:highlight w:val="none"/>
                <w:u w:val="single"/>
                <w:lang w:val="en-US" w:eastAsia="zh-CN"/>
              </w:rPr>
              <w:t>砂石</w:t>
            </w:r>
            <w:r>
              <w:rPr>
                <w:rFonts w:hint="eastAsia" w:ascii="楷体_GB2312" w:hAnsi="楷体_GB2312" w:eastAsia="楷体_GB2312" w:cs="楷体_GB2312"/>
                <w:sz w:val="24"/>
                <w:szCs w:val="24"/>
                <w:highlight w:val="none"/>
              </w:rPr>
              <w:t>采购根据需要，拟按照</w:t>
            </w:r>
            <w:r>
              <w:rPr>
                <w:rFonts w:hint="eastAsia" w:ascii="楷体_GB2312" w:hAnsi="楷体_GB2312" w:eastAsia="楷体_GB2312" w:cs="楷体_GB2312"/>
                <w:sz w:val="24"/>
                <w:szCs w:val="24"/>
                <w:highlight w:val="none"/>
                <w:u w:val="single"/>
                <w:lang w:val="en-US" w:eastAsia="zh-CN"/>
              </w:rPr>
              <w:t>询比价</w:t>
            </w:r>
            <w:r>
              <w:rPr>
                <w:rFonts w:hint="eastAsia" w:ascii="楷体_GB2312" w:hAnsi="楷体_GB2312" w:eastAsia="楷体_GB2312" w:cs="楷体_GB2312"/>
                <w:sz w:val="24"/>
                <w:szCs w:val="24"/>
                <w:highlight w:val="none"/>
              </w:rPr>
              <w:t xml:space="preserve">方式进行采购，具体采购事项如下：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3" w:type="dxa"/>
            <w:vAlign w:val="center"/>
          </w:tcPr>
          <w:p>
            <w:pPr>
              <w:spacing w:line="360" w:lineRule="atLeast"/>
              <w:jc w:val="center"/>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序号</w:t>
            </w:r>
          </w:p>
        </w:tc>
        <w:tc>
          <w:tcPr>
            <w:tcW w:w="2517" w:type="dxa"/>
            <w:vAlign w:val="center"/>
          </w:tcPr>
          <w:p>
            <w:pPr>
              <w:spacing w:line="360" w:lineRule="atLeast"/>
              <w:jc w:val="center"/>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项目</w:t>
            </w:r>
          </w:p>
        </w:tc>
        <w:tc>
          <w:tcPr>
            <w:tcW w:w="5233"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63" w:type="dxa"/>
            <w:vAlign w:val="center"/>
          </w:tcPr>
          <w:p>
            <w:pPr>
              <w:spacing w:line="360" w:lineRule="atLeast"/>
              <w:jc w:val="center"/>
              <w:rPr>
                <w:rFonts w:hint="eastAsia" w:ascii="楷体_GB2312" w:hAnsi="楷体_GB2312" w:eastAsia="楷体_GB2312" w:cs="楷体_GB2312"/>
                <w:sz w:val="24"/>
                <w:szCs w:val="24"/>
                <w:highlight w:val="none"/>
                <w:lang w:eastAsia="zh-CN"/>
              </w:rPr>
            </w:pPr>
            <w:r>
              <w:rPr>
                <w:rFonts w:hint="eastAsia" w:ascii="楷体_GB2312" w:hAnsi="楷体_GB2312" w:eastAsia="楷体_GB2312" w:cs="楷体_GB2312"/>
                <w:sz w:val="24"/>
                <w:szCs w:val="24"/>
                <w:highlight w:val="none"/>
                <w:lang w:val="en-US" w:eastAsia="zh-CN"/>
              </w:rPr>
              <w:t>1</w:t>
            </w:r>
          </w:p>
        </w:tc>
        <w:tc>
          <w:tcPr>
            <w:tcW w:w="2517"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询比价单位</w:t>
            </w:r>
          </w:p>
        </w:tc>
        <w:tc>
          <w:tcPr>
            <w:tcW w:w="5233"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海南洋浦陆海国际贸易有限公司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63" w:type="dxa"/>
            <w:vAlign w:val="center"/>
          </w:tcPr>
          <w:p>
            <w:pPr>
              <w:spacing w:line="360" w:lineRule="atLeast"/>
              <w:jc w:val="center"/>
              <w:rPr>
                <w:rFonts w:hint="eastAsia" w:ascii="楷体_GB2312" w:hAnsi="楷体_GB2312" w:eastAsia="楷体_GB2312" w:cs="楷体_GB2312"/>
                <w:sz w:val="24"/>
                <w:szCs w:val="24"/>
                <w:highlight w:val="none"/>
                <w:lang w:eastAsia="zh-CN"/>
              </w:rPr>
            </w:pPr>
            <w:r>
              <w:rPr>
                <w:rFonts w:hint="eastAsia" w:ascii="楷体_GB2312" w:hAnsi="楷体_GB2312" w:eastAsia="楷体_GB2312" w:cs="楷体_GB2312"/>
                <w:sz w:val="24"/>
                <w:szCs w:val="24"/>
                <w:highlight w:val="none"/>
                <w:lang w:val="en-US" w:eastAsia="zh-CN"/>
              </w:rPr>
              <w:t>2</w:t>
            </w:r>
          </w:p>
        </w:tc>
        <w:tc>
          <w:tcPr>
            <w:tcW w:w="2517"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询比价内容</w:t>
            </w:r>
          </w:p>
        </w:tc>
        <w:tc>
          <w:tcPr>
            <w:tcW w:w="5233" w:type="dxa"/>
            <w:vAlign w:val="center"/>
          </w:tcPr>
          <w:p>
            <w:pPr>
              <w:spacing w:line="360" w:lineRule="atLeast"/>
              <w:jc w:val="both"/>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1.采购货物名称/数量（详见报价书）；</w:t>
            </w:r>
          </w:p>
          <w:p>
            <w:pPr>
              <w:keepNext w:val="0"/>
              <w:keepLines w:val="0"/>
              <w:pageBreakBefore w:val="0"/>
              <w:widowControl w:val="0"/>
              <w:kinsoku/>
              <w:wordWrap w:val="0"/>
              <w:overflowPunct/>
              <w:topLinePunct w:val="0"/>
              <w:autoSpaceDE/>
              <w:autoSpaceDN/>
              <w:bidi w:val="0"/>
              <w:adjustRightInd/>
              <w:snapToGrid/>
              <w:spacing w:line="360" w:lineRule="atLeast"/>
              <w:jc w:val="both"/>
              <w:textAlignment w:val="auto"/>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2.询比价文件获取方式：洋浦控股官网（http://www.yangpukg.com/ypkg/）获取或</w:t>
            </w:r>
            <w:r>
              <w:rPr>
                <w:rFonts w:hint="eastAsia" w:ascii="楷体_GB2312" w:hAnsi="楷体_GB2312" w:eastAsia="楷体_GB2312" w:cs="楷体_GB2312"/>
                <w:sz w:val="24"/>
                <w:szCs w:val="24"/>
                <w:highlight w:val="none"/>
              </w:rPr>
              <w:t>到</w:t>
            </w:r>
            <w:r>
              <w:rPr>
                <w:rFonts w:hint="eastAsia" w:ascii="楷体_GB2312" w:hAnsi="楷体_GB2312" w:eastAsia="楷体_GB2312" w:cs="楷体_GB2312"/>
                <w:sz w:val="24"/>
                <w:szCs w:val="24"/>
                <w:highlight w:val="none"/>
                <w:lang w:eastAsia="zh-CN"/>
              </w:rPr>
              <w:t>询比价</w:t>
            </w:r>
            <w:r>
              <w:rPr>
                <w:rFonts w:hint="eastAsia" w:ascii="楷体_GB2312" w:hAnsi="楷体_GB2312" w:eastAsia="楷体_GB2312" w:cs="楷体_GB2312"/>
                <w:sz w:val="24"/>
                <w:szCs w:val="24"/>
                <w:highlight w:val="none"/>
              </w:rPr>
              <w:t>人指定地点</w:t>
            </w:r>
            <w:r>
              <w:rPr>
                <w:rFonts w:hint="eastAsia" w:ascii="楷体_GB2312" w:hAnsi="楷体_GB2312" w:eastAsia="楷体_GB2312" w:cs="楷体_GB2312"/>
                <w:sz w:val="24"/>
                <w:szCs w:val="24"/>
                <w:highlight w:val="none"/>
                <w:lang w:eastAsia="zh-CN"/>
              </w:rPr>
              <w:t>（</w:t>
            </w:r>
            <w:r>
              <w:rPr>
                <w:rFonts w:hint="eastAsia" w:ascii="楷体_GB2312" w:hAnsi="楷体_GB2312" w:eastAsia="楷体_GB2312" w:cs="楷体_GB2312"/>
                <w:sz w:val="24"/>
                <w:szCs w:val="24"/>
                <w:highlight w:val="none"/>
                <w:lang w:val="en-US" w:eastAsia="zh-CN"/>
              </w:rPr>
              <w:t>洋浦国际商业大厦3楼305房</w:t>
            </w:r>
            <w:r>
              <w:rPr>
                <w:rFonts w:hint="eastAsia" w:ascii="楷体_GB2312" w:hAnsi="楷体_GB2312" w:eastAsia="楷体_GB2312" w:cs="楷体_GB2312"/>
                <w:sz w:val="24"/>
                <w:szCs w:val="24"/>
                <w:highlight w:val="none"/>
                <w:lang w:eastAsia="zh-CN"/>
              </w:rPr>
              <w:t>）</w:t>
            </w:r>
            <w:r>
              <w:rPr>
                <w:rFonts w:hint="eastAsia" w:ascii="楷体_GB2312" w:hAnsi="楷体_GB2312" w:eastAsia="楷体_GB2312" w:cs="楷体_GB2312"/>
                <w:sz w:val="24"/>
                <w:szCs w:val="24"/>
                <w:highlight w:val="none"/>
                <w:lang w:val="en-US" w:eastAsia="zh-CN"/>
              </w:rPr>
              <w:t>领取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3</w:t>
            </w:r>
          </w:p>
        </w:tc>
        <w:tc>
          <w:tcPr>
            <w:tcW w:w="2517"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技术要求</w:t>
            </w:r>
          </w:p>
        </w:tc>
        <w:tc>
          <w:tcPr>
            <w:tcW w:w="5233" w:type="dxa"/>
          </w:tcPr>
          <w:p>
            <w:pPr>
              <w:keepNext w:val="0"/>
              <w:keepLines w:val="0"/>
              <w:pageBreakBefore w:val="0"/>
              <w:widowControl w:val="0"/>
              <w:numPr>
                <w:ilvl w:val="1"/>
                <w:numId w:val="0"/>
              </w:numPr>
              <w:kinsoku/>
              <w:wordWrap/>
              <w:overflowPunct/>
              <w:topLinePunct w:val="0"/>
              <w:autoSpaceDE/>
              <w:autoSpaceDN/>
              <w:bidi w:val="0"/>
              <w:adjustRightInd/>
              <w:snapToGrid/>
              <w:spacing w:line="360" w:lineRule="atLeast"/>
              <w:textAlignment w:val="auto"/>
              <w:rPr>
                <w:rFonts w:ascii="宋体" w:hAnsi="宋体" w:cs="宋体"/>
                <w:color w:val="000000"/>
                <w:sz w:val="24"/>
                <w:szCs w:val="24"/>
                <w:highlight w:val="none"/>
              </w:rPr>
            </w:pPr>
            <w:r>
              <w:rPr>
                <w:rFonts w:hint="eastAsia" w:ascii="楷体_GB2312" w:hAnsi="楷体_GB2312" w:eastAsia="楷体_GB2312" w:cs="楷体_GB2312"/>
                <w:sz w:val="24"/>
                <w:szCs w:val="24"/>
                <w:highlight w:val="none"/>
                <w:lang w:val="en-US" w:eastAsia="zh-CN"/>
              </w:rPr>
              <w:t>机制砂要求参考《建筑地基基础设计规范》（GB50007-2011），粒径大于2mm的颗粒含量不超过全重50%，粒径大于0.5mm的颗粒含量超过全重50%，粒径小于0.5mm的颗粒含量介于全重25%-35%之间，不得使用淤泥、耕土、冻土、膨胀土以及有机质含量大于5％的土料，粒径最大不超过5mm。 如国家标准有变更均按最新标准执行。</w:t>
            </w:r>
          </w:p>
          <w:p>
            <w:pPr>
              <w:spacing w:line="360" w:lineRule="atLeast"/>
              <w:jc w:val="left"/>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未筛分碎石和级配碎石符合JTG/T F20-2015《公路路面基层施工技术细则》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3" w:type="dxa"/>
            <w:vAlign w:val="center"/>
          </w:tcPr>
          <w:p>
            <w:pPr>
              <w:spacing w:line="360" w:lineRule="atLeast"/>
              <w:jc w:val="center"/>
              <w:rPr>
                <w:rFonts w:hint="eastAsia" w:ascii="楷体_GB2312" w:hAnsi="楷体_GB2312" w:eastAsia="楷体_GB2312" w:cs="楷体_GB2312"/>
                <w:sz w:val="24"/>
                <w:szCs w:val="24"/>
                <w:highlight w:val="none"/>
                <w:lang w:eastAsia="zh-CN"/>
              </w:rPr>
            </w:pPr>
            <w:r>
              <w:rPr>
                <w:rFonts w:hint="eastAsia" w:ascii="楷体_GB2312" w:hAnsi="楷体_GB2312" w:eastAsia="楷体_GB2312" w:cs="楷体_GB2312"/>
                <w:sz w:val="24"/>
                <w:szCs w:val="24"/>
                <w:highlight w:val="none"/>
                <w:lang w:val="en-US" w:eastAsia="zh-CN"/>
              </w:rPr>
              <w:t>4</w:t>
            </w:r>
          </w:p>
        </w:tc>
        <w:tc>
          <w:tcPr>
            <w:tcW w:w="2517" w:type="dxa"/>
            <w:vAlign w:val="center"/>
          </w:tcPr>
          <w:p>
            <w:pPr>
              <w:spacing w:line="360" w:lineRule="atLeast"/>
              <w:jc w:val="center"/>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lang w:val="en-US" w:eastAsia="zh-CN"/>
              </w:rPr>
              <w:t>开始</w:t>
            </w:r>
            <w:r>
              <w:rPr>
                <w:rFonts w:hint="eastAsia" w:ascii="楷体_GB2312" w:hAnsi="楷体_GB2312" w:eastAsia="楷体_GB2312" w:cs="楷体_GB2312"/>
                <w:sz w:val="24"/>
                <w:szCs w:val="24"/>
                <w:highlight w:val="none"/>
              </w:rPr>
              <w:t>时间</w:t>
            </w:r>
          </w:p>
        </w:tc>
        <w:tc>
          <w:tcPr>
            <w:tcW w:w="523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2024年4月17日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63" w:type="dxa"/>
            <w:vAlign w:val="center"/>
          </w:tcPr>
          <w:p>
            <w:pPr>
              <w:spacing w:line="360" w:lineRule="atLeast"/>
              <w:jc w:val="center"/>
              <w:rPr>
                <w:rFonts w:hint="eastAsia" w:ascii="楷体_GB2312" w:hAnsi="楷体_GB2312" w:eastAsia="楷体_GB2312" w:cs="楷体_GB2312"/>
                <w:sz w:val="24"/>
                <w:szCs w:val="24"/>
                <w:highlight w:val="none"/>
                <w:lang w:eastAsia="zh-CN"/>
              </w:rPr>
            </w:pPr>
            <w:r>
              <w:rPr>
                <w:rFonts w:hint="eastAsia" w:ascii="楷体_GB2312" w:hAnsi="楷体_GB2312" w:eastAsia="楷体_GB2312" w:cs="楷体_GB2312"/>
                <w:sz w:val="24"/>
                <w:szCs w:val="24"/>
                <w:highlight w:val="none"/>
                <w:lang w:val="en-US" w:eastAsia="zh-CN"/>
              </w:rPr>
              <w:t>5</w:t>
            </w:r>
          </w:p>
        </w:tc>
        <w:tc>
          <w:tcPr>
            <w:tcW w:w="2517" w:type="dxa"/>
            <w:vAlign w:val="center"/>
          </w:tcPr>
          <w:p>
            <w:pPr>
              <w:spacing w:line="360" w:lineRule="atLeast"/>
              <w:jc w:val="center"/>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lang w:val="en-US" w:eastAsia="zh-CN"/>
              </w:rPr>
              <w:t>报价书</w:t>
            </w:r>
            <w:r>
              <w:rPr>
                <w:rFonts w:hint="eastAsia" w:ascii="楷体_GB2312" w:hAnsi="楷体_GB2312" w:eastAsia="楷体_GB2312" w:cs="楷体_GB2312"/>
                <w:sz w:val="24"/>
                <w:szCs w:val="24"/>
                <w:highlight w:val="none"/>
              </w:rPr>
              <w:t>递交时间地点</w:t>
            </w:r>
          </w:p>
        </w:tc>
        <w:tc>
          <w:tcPr>
            <w:tcW w:w="5233" w:type="dxa"/>
            <w:vAlign w:val="center"/>
          </w:tcPr>
          <w:p>
            <w:pPr>
              <w:keepNext w:val="0"/>
              <w:keepLines w:val="0"/>
              <w:pageBreakBefore w:val="0"/>
              <w:widowControl w:val="0"/>
              <w:kinsoku/>
              <w:wordWrap w:val="0"/>
              <w:overflowPunct/>
              <w:topLinePunct w:val="0"/>
              <w:autoSpaceDE/>
              <w:autoSpaceDN/>
              <w:bidi w:val="0"/>
              <w:adjustRightInd/>
              <w:snapToGrid/>
              <w:spacing w:line="360" w:lineRule="atLeast"/>
              <w:jc w:val="center"/>
              <w:textAlignment w:val="auto"/>
              <w:rPr>
                <w:rFonts w:hint="default" w:ascii="楷体_GB2312" w:hAnsi="楷体_GB2312" w:eastAsia="楷体_GB2312" w:cs="楷体_GB2312"/>
                <w:sz w:val="24"/>
                <w:szCs w:val="24"/>
                <w:highlight w:val="none"/>
                <w:lang w:val="en-US"/>
              </w:rPr>
            </w:pPr>
            <w:r>
              <w:rPr>
                <w:rFonts w:hint="eastAsia" w:ascii="楷体_GB2312" w:hAnsi="楷体_GB2312" w:eastAsia="楷体_GB2312" w:cs="楷体_GB2312"/>
                <w:sz w:val="24"/>
                <w:szCs w:val="24"/>
                <w:highlight w:val="none"/>
                <w:lang w:val="en-US" w:eastAsia="zh-CN"/>
              </w:rPr>
              <w:t>2024年4月24</w:t>
            </w:r>
            <w:bookmarkStart w:id="15" w:name="_GoBack"/>
            <w:bookmarkEnd w:id="15"/>
            <w:r>
              <w:rPr>
                <w:rFonts w:hint="eastAsia" w:ascii="楷体_GB2312" w:hAnsi="楷体_GB2312" w:eastAsia="楷体_GB2312" w:cs="楷体_GB2312"/>
                <w:sz w:val="24"/>
                <w:szCs w:val="24"/>
                <w:highlight w:val="none"/>
                <w:lang w:val="en-US" w:eastAsia="zh-CN"/>
              </w:rPr>
              <w:t>日中午12：00前，通过电子邮箱将报价书盖公章发送至luhaimygs@hnyplh.com。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63" w:type="dxa"/>
            <w:vAlign w:val="center"/>
          </w:tcPr>
          <w:p>
            <w:pPr>
              <w:spacing w:line="360" w:lineRule="atLeast"/>
              <w:jc w:val="center"/>
              <w:rPr>
                <w:rFonts w:hint="eastAsia" w:ascii="楷体_GB2312" w:hAnsi="楷体_GB2312" w:eastAsia="楷体_GB2312" w:cs="楷体_GB2312"/>
                <w:sz w:val="24"/>
                <w:szCs w:val="24"/>
                <w:highlight w:val="none"/>
                <w:lang w:eastAsia="zh-CN"/>
              </w:rPr>
            </w:pPr>
            <w:r>
              <w:rPr>
                <w:rFonts w:hint="eastAsia" w:ascii="楷体_GB2312" w:hAnsi="楷体_GB2312" w:eastAsia="楷体_GB2312" w:cs="楷体_GB2312"/>
                <w:sz w:val="24"/>
                <w:szCs w:val="24"/>
                <w:highlight w:val="none"/>
                <w:lang w:val="en-US" w:eastAsia="zh-CN"/>
              </w:rPr>
              <w:t>6</w:t>
            </w:r>
          </w:p>
        </w:tc>
        <w:tc>
          <w:tcPr>
            <w:tcW w:w="2517" w:type="dxa"/>
            <w:vAlign w:val="center"/>
          </w:tcPr>
          <w:p>
            <w:pPr>
              <w:spacing w:line="360" w:lineRule="atLeast"/>
              <w:jc w:val="center"/>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联系人及电话</w:t>
            </w:r>
          </w:p>
        </w:tc>
        <w:tc>
          <w:tcPr>
            <w:tcW w:w="523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孙林斌18976333799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7</w:t>
            </w:r>
          </w:p>
        </w:tc>
        <w:tc>
          <w:tcPr>
            <w:tcW w:w="2517" w:type="dxa"/>
            <w:vAlign w:val="center"/>
          </w:tcPr>
          <w:p>
            <w:pPr>
              <w:spacing w:line="360" w:lineRule="atLeast"/>
              <w:jc w:val="center"/>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lang w:val="en-US" w:eastAsia="zh-CN"/>
              </w:rPr>
              <w:t>电子邮箱</w:t>
            </w:r>
          </w:p>
        </w:tc>
        <w:tc>
          <w:tcPr>
            <w:tcW w:w="5233"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luhaimygs@hnyplh.com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8</w:t>
            </w:r>
          </w:p>
        </w:tc>
        <w:tc>
          <w:tcPr>
            <w:tcW w:w="2517"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评分办法</w:t>
            </w:r>
          </w:p>
        </w:tc>
        <w:tc>
          <w:tcPr>
            <w:tcW w:w="523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最低评标价法，询价清单六项分别以最低报价单位为第一成交候选人。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9</w:t>
            </w:r>
          </w:p>
        </w:tc>
        <w:tc>
          <w:tcPr>
            <w:tcW w:w="2517"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临时采购有效期</w:t>
            </w:r>
          </w:p>
        </w:tc>
        <w:tc>
          <w:tcPr>
            <w:tcW w:w="5233"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询比价截止日起60天。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10</w:t>
            </w:r>
          </w:p>
        </w:tc>
        <w:tc>
          <w:tcPr>
            <w:tcW w:w="2517"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采购控制价</w:t>
            </w:r>
          </w:p>
        </w:tc>
        <w:tc>
          <w:tcPr>
            <w:tcW w:w="523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default" w:ascii="楷体_GB2312" w:hAnsi="楷体_GB2312" w:eastAsia="楷体_GB2312" w:cs="楷体_GB2312"/>
                <w:sz w:val="24"/>
                <w:szCs w:val="24"/>
                <w:highlight w:val="none"/>
                <w:lang w:val="en-US" w:eastAsia="zh-CN"/>
              </w:rPr>
              <w:t xml:space="preserve">机制砂单价控制价为140元/m³，碎石(包含级配碎石与未筛分碎石)单价控制价为160元/m³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11</w:t>
            </w:r>
          </w:p>
        </w:tc>
        <w:tc>
          <w:tcPr>
            <w:tcW w:w="2517"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廉政电话</w:t>
            </w:r>
          </w:p>
        </w:tc>
        <w:tc>
          <w:tcPr>
            <w:tcW w:w="523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_GB2312" w:hAnsi="楷体_GB2312" w:eastAsia="楷体_GB2312" w:cs="楷体_GB2312"/>
                <w:sz w:val="24"/>
                <w:szCs w:val="24"/>
                <w:highlight w:val="none"/>
                <w:lang w:val="en-US" w:eastAsia="zh-CN"/>
              </w:rPr>
              <w:t xml:space="preserve">0898-28810186 </w:t>
            </w:r>
          </w:p>
        </w:tc>
      </w:tr>
      <w:bookmarkEnd w:id="0"/>
      <w:bookmarkEnd w:id="1"/>
    </w:tbl>
    <w:p>
      <w:pPr>
        <w:pStyle w:val="25"/>
        <w:spacing w:line="360" w:lineRule="auto"/>
        <w:ind w:firstLine="0" w:firstLineChars="0"/>
        <w:jc w:val="center"/>
        <w:rPr>
          <w:rFonts w:hint="eastAsia" w:ascii="楷体_GB2312" w:hAnsi="楷体_GB2312" w:eastAsia="楷体_GB2312" w:cs="楷体_GB2312"/>
          <w:b/>
          <w:bCs/>
          <w:kern w:val="44"/>
          <w:sz w:val="24"/>
          <w:szCs w:val="24"/>
        </w:rPr>
        <w:sectPr>
          <w:pgSz w:w="11906" w:h="16838"/>
          <w:pgMar w:top="1440" w:right="1800" w:bottom="1247" w:left="1800" w:header="851" w:footer="992" w:gutter="0"/>
          <w:cols w:space="0" w:num="1"/>
          <w:docGrid w:type="lines" w:linePitch="312" w:charSpace="0"/>
        </w:sectPr>
      </w:pPr>
    </w:p>
    <w:p>
      <w:pPr>
        <w:pStyle w:val="3"/>
        <w:spacing w:before="0" w:line="240" w:lineRule="auto"/>
        <w:jc w:val="center"/>
        <w:rPr>
          <w:rFonts w:hint="default" w:eastAsia="楷体_GB2312"/>
          <w:lang w:val="en-US" w:eastAsia="zh-CN"/>
        </w:rPr>
      </w:pPr>
      <w:r>
        <w:rPr>
          <w:rFonts w:hint="eastAsia" w:ascii="楷体_GB2312" w:hAnsi="楷体_GB2312" w:eastAsia="楷体_GB2312" w:cs="楷体_GB2312"/>
          <w:szCs w:val="24"/>
        </w:rPr>
        <w:t>第二章</w:t>
      </w:r>
      <w:r>
        <w:rPr>
          <w:rFonts w:hint="eastAsia" w:ascii="楷体_GB2312" w:hAnsi="楷体_GB2312" w:eastAsia="楷体_GB2312" w:cs="楷体_GB2312"/>
          <w:szCs w:val="24"/>
          <w:lang w:val="en-US" w:eastAsia="zh-CN"/>
        </w:rPr>
        <w:t xml:space="preserve"> 供应商须知</w:t>
      </w:r>
    </w:p>
    <w:p>
      <w:pPr>
        <w:pStyle w:val="2"/>
        <w:pageBreakBefore w:val="0"/>
        <w:widowControl w:val="0"/>
        <w:kinsoku/>
        <w:wordWrap/>
        <w:overflowPunct/>
        <w:topLinePunct w:val="0"/>
        <w:autoSpaceDE/>
        <w:autoSpaceDN/>
        <w:bidi w:val="0"/>
        <w:adjustRightInd/>
        <w:snapToGrid/>
        <w:spacing w:before="0" w:line="400" w:lineRule="exact"/>
        <w:textAlignment w:val="auto"/>
        <w:rPr>
          <w:rFonts w:ascii="楷体_GB2312" w:hAnsi="楷体_GB2312" w:eastAsia="楷体_GB2312" w:cs="楷体_GB2312"/>
          <w:sz w:val="24"/>
          <w:szCs w:val="24"/>
        </w:rPr>
      </w:pPr>
      <w:bookmarkStart w:id="2" w:name="_Toc343692940"/>
      <w:bookmarkStart w:id="3" w:name="_Toc343700738"/>
      <w:r>
        <w:rPr>
          <w:rFonts w:hint="eastAsia" w:ascii="楷体_GB2312" w:hAnsi="楷体_GB2312" w:eastAsia="楷体_GB2312" w:cs="楷体_GB2312"/>
          <w:sz w:val="24"/>
          <w:szCs w:val="24"/>
        </w:rPr>
        <w:t>一、总则</w:t>
      </w:r>
      <w:bookmarkEnd w:id="2"/>
      <w:bookmarkEnd w:id="3"/>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(一)原则</w:t>
      </w:r>
    </w:p>
    <w:p>
      <w:pPr>
        <w:pageBreakBefore w:val="0"/>
        <w:widowControl w:val="0"/>
        <w:kinsoku/>
        <w:wordWrap/>
        <w:overflowPunct/>
        <w:topLinePunct w:val="0"/>
        <w:autoSpaceDE/>
        <w:autoSpaceDN/>
        <w:bidi w:val="0"/>
        <w:adjustRightInd/>
        <w:snapToGrid/>
        <w:spacing w:line="400" w:lineRule="exact"/>
        <w:ind w:firstLine="480"/>
        <w:textAlignment w:val="auto"/>
        <w:rPr>
          <w:rFonts w:hint="eastAsia" w:ascii="楷体_GB2312" w:hAnsi="楷体_GB2312" w:eastAsia="楷体_GB2312" w:cs="楷体_GB2312"/>
          <w:bCs/>
          <w:sz w:val="24"/>
          <w:szCs w:val="24"/>
          <w:lang w:eastAsia="zh-CN"/>
        </w:rPr>
      </w:pPr>
      <w:r>
        <w:rPr>
          <w:rFonts w:hint="eastAsia" w:ascii="楷体_GB2312" w:hAnsi="楷体_GB2312" w:eastAsia="楷体_GB2312" w:cs="楷体_GB2312"/>
          <w:bCs/>
          <w:sz w:val="24"/>
          <w:szCs w:val="24"/>
        </w:rPr>
        <w:t>坚持公开、公正、公平和诚实信用的原则。坚持质量优先，价格合理，科学评估，规范运作</w:t>
      </w:r>
      <w:r>
        <w:rPr>
          <w:rFonts w:hint="eastAsia" w:ascii="楷体_GB2312" w:hAnsi="楷体_GB2312" w:eastAsia="楷体_GB2312" w:cs="楷体_GB2312"/>
          <w:bCs/>
          <w:sz w:val="24"/>
          <w:szCs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lang w:eastAsia="zh-CN"/>
        </w:rPr>
      </w:pPr>
      <w:r>
        <w:rPr>
          <w:rFonts w:hint="eastAsia" w:ascii="楷体_GB2312" w:hAnsi="楷体_GB2312" w:eastAsia="楷体_GB2312" w:cs="楷体_GB2312"/>
          <w:bCs/>
          <w:sz w:val="24"/>
          <w:szCs w:val="24"/>
        </w:rPr>
        <w:t xml:space="preserve">(二) </w:t>
      </w:r>
      <w:r>
        <w:rPr>
          <w:rFonts w:hint="eastAsia" w:ascii="楷体_GB2312" w:hAnsi="楷体_GB2312" w:eastAsia="楷体_GB2312" w:cs="楷体_GB2312"/>
          <w:bCs/>
          <w:sz w:val="24"/>
          <w:szCs w:val="24"/>
          <w:lang w:val="en-US" w:eastAsia="zh-CN"/>
        </w:rPr>
        <w:t>供应商参与报价条件</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1、具备法律主体资格。</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2、具备国家有关部门、行业或公司要求必须取得的质量、计量、安全、环保认证及其他经营许可；在有关部门和行业的监督检查中没有不良记录；与公司没有不良合作记录。</w:t>
      </w:r>
    </w:p>
    <w:p>
      <w:pPr>
        <w:pageBreakBefore w:val="0"/>
        <w:widowControl w:val="0"/>
        <w:kinsoku/>
        <w:wordWrap/>
        <w:overflowPunct/>
        <w:topLinePunct w:val="0"/>
        <w:autoSpaceDE/>
        <w:autoSpaceDN/>
        <w:bidi w:val="0"/>
        <w:adjustRightInd/>
        <w:snapToGrid/>
        <w:spacing w:line="400" w:lineRule="exact"/>
        <w:textAlignment w:val="auto"/>
        <w:rPr>
          <w:rFonts w:hint="default" w:ascii="楷体_GB2312" w:hAnsi="楷体_GB2312" w:eastAsia="楷体_GB2312" w:cs="楷体_GB2312"/>
          <w:b/>
          <w:bCs/>
          <w:sz w:val="24"/>
          <w:szCs w:val="24"/>
          <w:lang w:val="en-US" w:eastAsia="zh-CN"/>
        </w:rPr>
      </w:pPr>
      <w:r>
        <w:rPr>
          <w:rFonts w:hint="eastAsia" w:ascii="楷体_GB2312" w:hAnsi="楷体_GB2312" w:eastAsia="楷体_GB2312" w:cs="楷体_GB2312"/>
          <w:bCs/>
          <w:sz w:val="24"/>
          <w:szCs w:val="24"/>
        </w:rPr>
        <w:t>3、具有一定的经营规模和服务能力</w:t>
      </w:r>
      <w:r>
        <w:rPr>
          <w:rFonts w:hint="eastAsia" w:ascii="楷体_GB2312" w:hAnsi="楷体_GB2312" w:eastAsia="楷体_GB2312" w:cs="楷体_GB2312"/>
          <w:bCs/>
          <w:sz w:val="24"/>
          <w:szCs w:val="24"/>
          <w:lang w:eastAsia="zh-CN"/>
        </w:rPr>
        <w:t>，</w:t>
      </w:r>
      <w:r>
        <w:rPr>
          <w:rFonts w:hint="eastAsia" w:ascii="楷体_GB2312" w:hAnsi="楷体_GB2312" w:eastAsia="楷体_GB2312" w:cs="楷体_GB2312"/>
          <w:bCs/>
          <w:sz w:val="24"/>
          <w:szCs w:val="24"/>
          <w:lang w:val="en-US" w:eastAsia="zh-CN"/>
        </w:rPr>
        <w:t>有同产品的供应业绩，供应量不低于本次询价数量。</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lang w:val="en-US" w:eastAsia="zh-CN"/>
        </w:rPr>
      </w:pPr>
      <w:r>
        <w:rPr>
          <w:rFonts w:hint="eastAsia" w:ascii="楷体_GB2312" w:hAnsi="楷体_GB2312" w:eastAsia="楷体_GB2312" w:cs="楷体_GB2312"/>
          <w:bCs/>
          <w:sz w:val="24"/>
          <w:szCs w:val="24"/>
        </w:rPr>
        <w:t>4、具有良好的商业信誉</w:t>
      </w:r>
      <w:r>
        <w:rPr>
          <w:rFonts w:hint="eastAsia" w:ascii="楷体_GB2312" w:hAnsi="楷体_GB2312" w:eastAsia="楷体_GB2312" w:cs="楷体_GB2312"/>
          <w:bCs/>
          <w:sz w:val="24"/>
          <w:szCs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default" w:eastAsia="楷体_GB2312"/>
          <w:lang w:val="en-US" w:eastAsia="zh-CN"/>
        </w:rPr>
      </w:pPr>
      <w:r>
        <w:rPr>
          <w:rFonts w:hint="eastAsia" w:ascii="楷体_GB2312" w:hAnsi="楷体_GB2312" w:eastAsia="楷体_GB2312" w:cs="楷体_GB2312"/>
          <w:bCs/>
          <w:sz w:val="24"/>
          <w:szCs w:val="24"/>
          <w:lang w:val="en-US" w:eastAsia="zh-CN"/>
        </w:rPr>
        <w:t>5、在海南洋浦陆海国际贸易有限公司办理入库的合格供应商。</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(三)合格的</w:t>
      </w:r>
      <w:r>
        <w:rPr>
          <w:rFonts w:hint="eastAsia" w:ascii="楷体_GB2312" w:hAnsi="楷体_GB2312" w:eastAsia="楷体_GB2312" w:cs="楷体_GB2312"/>
          <w:bCs/>
          <w:sz w:val="24"/>
          <w:szCs w:val="24"/>
          <w:u w:val="single"/>
          <w:lang w:val="en-US" w:eastAsia="zh-CN"/>
        </w:rPr>
        <w:t>砂石</w:t>
      </w:r>
      <w:r>
        <w:rPr>
          <w:rFonts w:hint="eastAsia" w:ascii="楷体_GB2312" w:hAnsi="楷体_GB2312" w:eastAsia="楷体_GB2312" w:cs="楷体_GB2312"/>
          <w:bCs/>
          <w:sz w:val="24"/>
          <w:szCs w:val="24"/>
        </w:rPr>
        <w:t>采购范围和交易方式</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结束后，向</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企业发放《</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通知书》，</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企业凭《</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通知书》按照</w:t>
      </w:r>
      <w:r>
        <w:rPr>
          <w:rFonts w:hint="eastAsia" w:ascii="楷体_GB2312" w:hAnsi="楷体_GB2312" w:eastAsia="楷体_GB2312" w:cs="楷体_GB2312"/>
          <w:bCs/>
          <w:sz w:val="24"/>
          <w:szCs w:val="24"/>
          <w:lang w:val="en-US" w:eastAsia="zh-CN"/>
        </w:rPr>
        <w:t>报价书价格</w:t>
      </w:r>
      <w:r>
        <w:rPr>
          <w:rFonts w:hint="eastAsia" w:ascii="楷体_GB2312" w:hAnsi="楷体_GB2312" w:eastAsia="楷体_GB2312" w:cs="楷体_GB2312"/>
          <w:bCs/>
          <w:sz w:val="24"/>
          <w:szCs w:val="24"/>
        </w:rPr>
        <w:t>签定具体采购合同。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2．供货和结算方式：</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企业根据合同供货，货款按合同规定结算。</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3．供货过程中，如发现</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单位实际不具备供货条件，或所供应</w:t>
      </w:r>
      <w:r>
        <w:rPr>
          <w:rFonts w:hint="eastAsia" w:ascii="楷体_GB2312" w:hAnsi="楷体_GB2312" w:eastAsia="楷体_GB2312" w:cs="楷体_GB2312"/>
          <w:bCs/>
          <w:sz w:val="24"/>
          <w:szCs w:val="24"/>
          <w:u w:val="single"/>
          <w:lang w:val="en-US" w:eastAsia="zh-CN"/>
        </w:rPr>
        <w:t>砂石</w:t>
      </w:r>
      <w:r>
        <w:rPr>
          <w:rFonts w:hint="eastAsia" w:ascii="楷体_GB2312" w:hAnsi="楷体_GB2312" w:eastAsia="楷体_GB2312" w:cs="楷体_GB2312"/>
          <w:bCs/>
          <w:sz w:val="24"/>
          <w:szCs w:val="24"/>
        </w:rPr>
        <w:t>不符合相关质量要求，</w:t>
      </w:r>
      <w:r>
        <w:rPr>
          <w:rFonts w:hint="eastAsia" w:ascii="楷体_GB2312" w:hAnsi="楷体_GB2312" w:eastAsia="楷体_GB2312" w:cs="楷体_GB2312"/>
          <w:bCs/>
          <w:sz w:val="24"/>
          <w:szCs w:val="24"/>
          <w:lang w:val="en-US" w:eastAsia="zh-CN"/>
        </w:rPr>
        <w:t>我司</w:t>
      </w:r>
      <w:r>
        <w:rPr>
          <w:rFonts w:hint="eastAsia" w:ascii="楷体_GB2312" w:hAnsi="楷体_GB2312" w:eastAsia="楷体_GB2312" w:cs="楷体_GB2312"/>
          <w:bCs/>
          <w:sz w:val="24"/>
          <w:szCs w:val="24"/>
        </w:rPr>
        <w:t>可终止与该</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单位合作。</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（四）合同文本采用使用</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单位提供的合同文本。供货合同将以此</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文件为基础签订，凡参与</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的单位皆被视为认可文件中出现的所有条款，并被视为</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单位已把文件中出现的所有条款综合考虑在自己的报价中。</w:t>
      </w:r>
      <w:r>
        <w:rPr>
          <w:rFonts w:hint="eastAsia" w:ascii="楷体_GB2312" w:hAnsi="楷体_GB2312" w:eastAsia="楷体_GB2312" w:cs="楷体_GB2312"/>
          <w:bCs/>
          <w:sz w:val="24"/>
          <w:szCs w:val="24"/>
          <w:lang w:val="en-US" w:eastAsia="zh-CN"/>
        </w:rPr>
        <w:t>成交</w:t>
      </w:r>
      <w:r>
        <w:rPr>
          <w:rFonts w:hint="eastAsia" w:ascii="楷体_GB2312" w:hAnsi="楷体_GB2312" w:eastAsia="楷体_GB2312" w:cs="楷体_GB2312"/>
          <w:bCs/>
          <w:sz w:val="24"/>
          <w:szCs w:val="24"/>
        </w:rPr>
        <w:t>单位在签订合同时无权调整条款，否则被视为</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单位放弃资格，</w:t>
      </w:r>
      <w:r>
        <w:rPr>
          <w:rFonts w:hint="eastAsia" w:ascii="楷体_GB2312" w:hAnsi="楷体_GB2312" w:eastAsia="楷体_GB2312" w:cs="楷体_GB2312"/>
          <w:bCs/>
          <w:sz w:val="24"/>
          <w:szCs w:val="24"/>
          <w:lang w:val="en-US" w:eastAsia="zh-CN"/>
        </w:rPr>
        <w:t>我司</w:t>
      </w:r>
      <w:r>
        <w:rPr>
          <w:rFonts w:hint="eastAsia" w:ascii="楷体_GB2312" w:hAnsi="楷体_GB2312" w:eastAsia="楷体_GB2312" w:cs="楷体_GB2312"/>
          <w:bCs/>
          <w:sz w:val="24"/>
          <w:szCs w:val="24"/>
        </w:rPr>
        <w:t>与备选单位签订合同。</w:t>
      </w:r>
    </w:p>
    <w:p>
      <w:pPr>
        <w:pStyle w:val="2"/>
        <w:pageBreakBefore w:val="0"/>
        <w:widowControl w:val="0"/>
        <w:kinsoku/>
        <w:wordWrap/>
        <w:overflowPunct/>
        <w:topLinePunct w:val="0"/>
        <w:autoSpaceDE/>
        <w:autoSpaceDN/>
        <w:bidi w:val="0"/>
        <w:adjustRightInd/>
        <w:snapToGrid/>
        <w:spacing w:before="0" w:line="400" w:lineRule="exact"/>
        <w:textAlignment w:val="auto"/>
        <w:rPr>
          <w:rFonts w:ascii="楷体_GB2312" w:hAnsi="楷体_GB2312" w:eastAsia="楷体_GB2312" w:cs="楷体_GB2312"/>
          <w:sz w:val="24"/>
          <w:szCs w:val="24"/>
        </w:rPr>
      </w:pPr>
      <w:bookmarkStart w:id="4" w:name="_Toc343692941"/>
      <w:bookmarkStart w:id="5" w:name="_Toc343700739"/>
      <w:r>
        <w:rPr>
          <w:rFonts w:hint="eastAsia" w:ascii="楷体_GB2312" w:hAnsi="楷体_GB2312" w:eastAsia="楷体_GB2312" w:cs="楷体_GB2312"/>
          <w:sz w:val="24"/>
          <w:szCs w:val="24"/>
        </w:rPr>
        <w:t>二、</w:t>
      </w:r>
      <w:bookmarkEnd w:id="4"/>
      <w:bookmarkEnd w:id="5"/>
      <w:r>
        <w:rPr>
          <w:rFonts w:hint="eastAsia" w:ascii="楷体_GB2312" w:hAnsi="楷体_GB2312" w:eastAsia="楷体_GB2312" w:cs="楷体_GB2312"/>
          <w:sz w:val="24"/>
          <w:szCs w:val="24"/>
          <w:lang w:eastAsia="zh-CN"/>
        </w:rPr>
        <w:t>询比价</w:t>
      </w:r>
      <w:r>
        <w:rPr>
          <w:rFonts w:hint="eastAsia" w:ascii="楷体_GB2312" w:hAnsi="楷体_GB2312" w:eastAsia="楷体_GB2312" w:cs="楷体_GB2312"/>
          <w:sz w:val="24"/>
          <w:szCs w:val="24"/>
        </w:rPr>
        <w:t>说明</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(一)</w:t>
      </w:r>
      <w:r>
        <w:rPr>
          <w:rFonts w:hint="eastAsia" w:ascii="楷体_GB2312" w:hAnsi="楷体_GB2312" w:eastAsia="楷体_GB2312" w:cs="楷体_GB2312"/>
          <w:bCs/>
          <w:sz w:val="24"/>
          <w:szCs w:val="24"/>
          <w:lang w:val="en-US" w:eastAsia="zh-CN"/>
        </w:rPr>
        <w:t>询比价</w:t>
      </w:r>
      <w:r>
        <w:rPr>
          <w:rFonts w:hint="eastAsia" w:ascii="楷体_GB2312" w:hAnsi="楷体_GB2312" w:eastAsia="楷体_GB2312" w:cs="楷体_GB2312"/>
          <w:bCs/>
          <w:sz w:val="24"/>
          <w:szCs w:val="24"/>
        </w:rPr>
        <w:t>文件</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w:t>
      </w:r>
      <w:r>
        <w:rPr>
          <w:rFonts w:hint="eastAsia" w:ascii="楷体_GB2312" w:hAnsi="楷体_GB2312" w:eastAsia="楷体_GB2312" w:cs="楷体_GB2312"/>
          <w:bCs/>
          <w:sz w:val="24"/>
          <w:szCs w:val="24"/>
          <w:lang w:val="en-US" w:eastAsia="zh-CN"/>
        </w:rPr>
        <w:t>询比价</w:t>
      </w:r>
      <w:r>
        <w:rPr>
          <w:rFonts w:hint="eastAsia" w:ascii="楷体_GB2312" w:hAnsi="楷体_GB2312" w:eastAsia="楷体_GB2312" w:cs="楷体_GB2312"/>
          <w:bCs/>
          <w:sz w:val="24"/>
          <w:szCs w:val="24"/>
        </w:rPr>
        <w:t xml:space="preserve">函 </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2、</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 xml:space="preserve">人须知    </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3、报价书</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（二）</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文件具体要求</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1、本次</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的内容：</w:t>
      </w:r>
      <w:r>
        <w:rPr>
          <w:rFonts w:hint="eastAsia" w:ascii="楷体_GB2312" w:hAnsi="楷体_GB2312" w:eastAsia="楷体_GB2312" w:cs="楷体_GB2312"/>
          <w:sz w:val="24"/>
          <w:szCs w:val="24"/>
          <w:u w:val="single"/>
          <w:lang w:val="en-US" w:eastAsia="zh-CN"/>
        </w:rPr>
        <w:t>砂石</w:t>
      </w:r>
      <w:r>
        <w:rPr>
          <w:rFonts w:hint="eastAsia" w:ascii="楷体_GB2312" w:hAnsi="楷体_GB2312" w:eastAsia="楷体_GB2312" w:cs="楷体_GB2312"/>
          <w:bCs/>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宋体" w:eastAsia="楷体_GB2312" w:cs="楷体_GB2312"/>
          <w:i w:val="0"/>
          <w:caps w:val="0"/>
          <w:color w:val="000000"/>
          <w:spacing w:val="0"/>
          <w:sz w:val="24"/>
          <w:szCs w:val="24"/>
          <w:lang w:eastAsia="zh-CN"/>
        </w:rPr>
      </w:pPr>
      <w:r>
        <w:rPr>
          <w:rFonts w:hint="eastAsia" w:ascii="楷体_GB2312" w:hAnsi="楷体_GB2312" w:eastAsia="楷体_GB2312" w:cs="楷体_GB2312"/>
          <w:bCs/>
          <w:sz w:val="24"/>
          <w:szCs w:val="24"/>
        </w:rPr>
        <w:t>2、承包方式：</w:t>
      </w:r>
      <w:r>
        <w:rPr>
          <w:rFonts w:hint="eastAsia" w:ascii="楷体_GB2312" w:hAnsi="楷体_GB2312" w:eastAsia="楷体_GB2312" w:cs="楷体_GB2312"/>
          <w:sz w:val="24"/>
          <w:szCs w:val="24"/>
          <w:u w:val="single"/>
          <w:lang w:val="en-US" w:eastAsia="zh-CN"/>
        </w:rPr>
        <w:t>砂石</w:t>
      </w:r>
      <w:r>
        <w:rPr>
          <w:rFonts w:hint="default" w:ascii="楷体_GB2312" w:hAnsi="宋体" w:eastAsia="楷体_GB2312" w:cs="楷体_GB2312"/>
          <w:i w:val="0"/>
          <w:caps w:val="0"/>
          <w:color w:val="000000"/>
          <w:spacing w:val="0"/>
          <w:sz w:val="24"/>
          <w:szCs w:val="24"/>
        </w:rPr>
        <w:t>的供应（包括</w:t>
      </w:r>
      <w:r>
        <w:rPr>
          <w:rFonts w:hint="eastAsia" w:ascii="楷体_GB2312" w:hAnsi="宋体" w:eastAsia="楷体_GB2312" w:cs="楷体_GB2312"/>
          <w:i w:val="0"/>
          <w:caps w:val="0"/>
          <w:color w:val="000000"/>
          <w:spacing w:val="0"/>
          <w:sz w:val="24"/>
          <w:szCs w:val="24"/>
          <w:lang w:val="en-US" w:eastAsia="zh-CN"/>
        </w:rPr>
        <w:t>制作加工、</w:t>
      </w:r>
      <w:r>
        <w:rPr>
          <w:rFonts w:hint="default" w:ascii="楷体_GB2312" w:hAnsi="宋体" w:eastAsia="楷体_GB2312" w:cs="楷体_GB2312"/>
          <w:i w:val="0"/>
          <w:caps w:val="0"/>
          <w:color w:val="000000"/>
          <w:spacing w:val="0"/>
          <w:sz w:val="24"/>
          <w:szCs w:val="24"/>
        </w:rPr>
        <w:t>运输）</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tLeast"/>
        <w:textAlignment w:val="auto"/>
        <w:rPr>
          <w:rFonts w:hint="eastAsia" w:ascii="楷体" w:hAnsi="楷体" w:eastAsia="楷体" w:cs="楷体"/>
          <w:bCs/>
          <w:sz w:val="24"/>
          <w:szCs w:val="24"/>
          <w:lang w:val="en-US" w:eastAsia="zh-CN"/>
        </w:rPr>
      </w:pPr>
      <w:r>
        <w:rPr>
          <w:rFonts w:hint="eastAsia" w:ascii="楷体_GB2312" w:hAnsi="楷体_GB2312" w:eastAsia="楷体_GB2312" w:cs="楷体_GB2312"/>
          <w:bCs/>
          <w:sz w:val="24"/>
          <w:szCs w:val="24"/>
          <w:lang w:val="en-US" w:eastAsia="zh-CN"/>
        </w:rPr>
        <w:t>3</w:t>
      </w:r>
      <w:bookmarkStart w:id="6" w:name="_Toc343692942"/>
      <w:bookmarkStart w:id="7" w:name="_Toc343700740"/>
      <w:r>
        <w:rPr>
          <w:rFonts w:hint="eastAsia" w:ascii="楷体" w:hAnsi="楷体" w:eastAsia="楷体" w:cs="楷体"/>
          <w:bCs/>
          <w:sz w:val="24"/>
          <w:szCs w:val="24"/>
        </w:rPr>
        <w:t>、</w:t>
      </w:r>
      <w:r>
        <w:rPr>
          <w:rFonts w:hint="eastAsia" w:ascii="楷体" w:hAnsi="楷体" w:eastAsia="楷体" w:cs="楷体"/>
          <w:bCs/>
          <w:sz w:val="24"/>
          <w:szCs w:val="24"/>
          <w:lang w:val="en-US" w:eastAsia="zh-CN"/>
        </w:rPr>
        <w:t>规范要求：</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tLeast"/>
        <w:textAlignment w:val="auto"/>
        <w:rPr>
          <w:rFonts w:hint="default" w:ascii="楷体" w:hAnsi="楷体" w:eastAsia="楷体" w:cs="楷体"/>
          <w:bCs/>
          <w:sz w:val="24"/>
          <w:szCs w:val="24"/>
          <w:highlight w:val="yellow"/>
          <w:lang w:val="en-US" w:eastAsia="zh-CN"/>
        </w:rPr>
      </w:pPr>
      <w:r>
        <w:rPr>
          <w:rFonts w:hint="eastAsia" w:ascii="楷体" w:hAnsi="楷体" w:eastAsia="楷体" w:cs="楷体"/>
          <w:bCs/>
          <w:sz w:val="24"/>
          <w:szCs w:val="24"/>
          <w:lang w:val="en-US" w:eastAsia="zh-CN"/>
        </w:rPr>
        <w:t>3.1、</w:t>
      </w:r>
      <w:r>
        <w:rPr>
          <w:rFonts w:hint="eastAsia" w:ascii="楷体" w:hAnsi="楷体" w:eastAsia="楷体" w:cs="楷体"/>
          <w:bCs/>
          <w:sz w:val="24"/>
          <w:szCs w:val="24"/>
          <w:highlight w:val="none"/>
          <w:lang w:val="en-US" w:eastAsia="zh-CN"/>
        </w:rPr>
        <w:t>机制砂要求参考《建筑地基基础设计规范》（GB50007-2011），粒径大于2mm的颗粒含量不超过全重50%，粒径大于0.5mm的颗粒含量超过全重50%，粒径小于0.5mm的颗粒含量介于全重25%-35%之间，不得使用淤泥、耕土、冻土、膨胀土以及有机质含量大于5％的土料，粒径最大不超过5mm。 如国家标准有变更均按最新标准执行。未筛分碎石和级配碎石符合JTG/T F20-2015《公路路面基层施工技术细则》。</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2、进场的物资必须符合国家相关标准。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3、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4、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lang w:val="en-US" w:eastAsia="zh-CN"/>
        </w:rPr>
        <w:t>4、</w:t>
      </w:r>
      <w:r>
        <w:rPr>
          <w:rFonts w:hint="eastAsia" w:ascii="楷体" w:hAnsi="楷体" w:eastAsia="楷体" w:cs="楷体"/>
          <w:bCs/>
          <w:sz w:val="24"/>
          <w:szCs w:val="24"/>
        </w:rPr>
        <w:t>验收方法：</w:t>
      </w:r>
      <w:r>
        <w:rPr>
          <w:rFonts w:hint="eastAsia" w:ascii="楷体" w:hAnsi="楷体" w:eastAsia="楷体" w:cs="楷体"/>
          <w:bCs/>
          <w:sz w:val="24"/>
          <w:szCs w:val="24"/>
          <w:lang w:val="en-US" w:eastAsia="zh-CN"/>
        </w:rPr>
        <w:t>买方</w:t>
      </w:r>
      <w:r>
        <w:rPr>
          <w:rFonts w:hint="eastAsia" w:ascii="楷体" w:hAnsi="楷体" w:eastAsia="楷体" w:cs="楷体"/>
          <w:bCs/>
          <w:sz w:val="24"/>
          <w:szCs w:val="24"/>
        </w:rPr>
        <w:t>有权利对进场的物资进行各种形式的检验，供应商必须充分配合。所供物资均应符合现行国家标准，具有质量检验部门的产品合格证、检测报告及产品性能说明书，并应表明生产厂家、规格和生产日期，物资进场时将以上合格资料一同交由承包方。</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lang w:val="en-US" w:eastAsia="zh-CN"/>
        </w:rPr>
        <w:t>5</w:t>
      </w:r>
      <w:r>
        <w:rPr>
          <w:rFonts w:hint="eastAsia" w:ascii="楷体_GB2312" w:hAnsi="楷体_GB2312" w:eastAsia="楷体_GB2312" w:cs="楷体_GB2312"/>
          <w:bCs/>
          <w:sz w:val="24"/>
          <w:szCs w:val="24"/>
        </w:rPr>
        <w:t>、送货方式：根据</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单位要求的时间送货到指定位置。</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lang w:val="en-US" w:eastAsia="zh-CN"/>
        </w:rPr>
        <w:t>6、</w:t>
      </w:r>
      <w:r>
        <w:rPr>
          <w:rFonts w:hint="eastAsia" w:ascii="楷体_GB2312" w:hAnsi="楷体_GB2312" w:eastAsia="楷体_GB2312" w:cs="楷体_GB2312"/>
          <w:bCs/>
          <w:sz w:val="24"/>
          <w:szCs w:val="24"/>
        </w:rPr>
        <w:t>合同文本：供货合同将以此</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文件为基础签订，凡参与的单位皆被视为认可</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文件中出现的所有条款，并被视为</w:t>
      </w:r>
      <w:r>
        <w:rPr>
          <w:rFonts w:hint="eastAsia" w:ascii="楷体_GB2312" w:hAnsi="楷体_GB2312" w:eastAsia="楷体_GB2312" w:cs="楷体_GB2312"/>
          <w:bCs/>
          <w:sz w:val="24"/>
          <w:szCs w:val="24"/>
          <w:lang w:eastAsia="zh-CN"/>
        </w:rPr>
        <w:t xml:space="preserve"> </w:t>
      </w:r>
      <w:r>
        <w:rPr>
          <w:rFonts w:hint="eastAsia" w:ascii="楷体_GB2312" w:hAnsi="楷体_GB2312" w:eastAsia="楷体_GB2312" w:cs="楷体_GB2312"/>
          <w:bCs/>
          <w:sz w:val="24"/>
          <w:szCs w:val="24"/>
        </w:rPr>
        <w:t>单位已把</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文件中出现的所有条款综合考虑在自己的报价中。</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单位在签订合同时无权调整条款，否则被视为</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单位放弃</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资格，</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单位与备选</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单位签订合同。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lang w:val="en-US" w:eastAsia="zh-CN"/>
        </w:rPr>
        <w:t>7</w:t>
      </w:r>
      <w:r>
        <w:rPr>
          <w:rFonts w:hint="eastAsia" w:ascii="楷体_GB2312" w:hAnsi="楷体_GB2312" w:eastAsia="楷体_GB2312" w:cs="楷体_GB2312"/>
          <w:bCs/>
          <w:sz w:val="24"/>
          <w:szCs w:val="24"/>
        </w:rPr>
        <w:t>、对未</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的单位不做经济方面或其他方面的赔偿，也不做解释，谨对合作表示衷心的感谢。</w:t>
      </w:r>
    </w:p>
    <w:p>
      <w:pPr>
        <w:pStyle w:val="2"/>
        <w:pageBreakBefore w:val="0"/>
        <w:widowControl w:val="0"/>
        <w:kinsoku/>
        <w:wordWrap/>
        <w:overflowPunct/>
        <w:topLinePunct w:val="0"/>
        <w:autoSpaceDE/>
        <w:autoSpaceDN/>
        <w:bidi w:val="0"/>
        <w:adjustRightInd/>
        <w:snapToGrid/>
        <w:spacing w:before="0" w:line="400" w:lineRule="exact"/>
        <w:textAlignment w:val="auto"/>
        <w:rPr>
          <w:rFonts w:ascii="楷体_GB2312" w:hAnsi="楷体_GB2312" w:eastAsia="楷体_GB2312" w:cs="楷体_GB2312"/>
          <w:sz w:val="24"/>
          <w:szCs w:val="24"/>
        </w:rPr>
      </w:pPr>
      <w:r>
        <w:rPr>
          <w:rFonts w:hint="eastAsia" w:ascii="楷体_GB2312" w:hAnsi="楷体_GB2312" w:eastAsia="楷体_GB2312" w:cs="楷体_GB2312"/>
          <w:sz w:val="24"/>
          <w:szCs w:val="24"/>
        </w:rPr>
        <w:t>三、</w:t>
      </w:r>
      <w:r>
        <w:rPr>
          <w:rFonts w:hint="eastAsia" w:ascii="楷体_GB2312" w:hAnsi="楷体_GB2312" w:eastAsia="楷体_GB2312" w:cs="楷体_GB2312"/>
          <w:sz w:val="24"/>
          <w:szCs w:val="24"/>
          <w:lang w:val="en-US" w:eastAsia="zh-CN"/>
        </w:rPr>
        <w:t>报价</w:t>
      </w:r>
      <w:r>
        <w:rPr>
          <w:rFonts w:hint="eastAsia" w:ascii="楷体_GB2312" w:hAnsi="楷体_GB2312" w:eastAsia="楷体_GB2312" w:cs="楷体_GB2312"/>
          <w:sz w:val="24"/>
          <w:szCs w:val="24"/>
        </w:rPr>
        <w:t>书的编制和递交</w:t>
      </w:r>
      <w:bookmarkEnd w:id="6"/>
      <w:bookmarkEnd w:id="7"/>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（一）材料构成：</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资料需加盖企业公章，送达的资料包括：</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lang w:val="en-US" w:eastAsia="zh-CN"/>
        </w:rPr>
        <w:t>1</w:t>
      </w:r>
      <w:r>
        <w:rPr>
          <w:rFonts w:hint="eastAsia" w:ascii="楷体_GB2312" w:hAnsi="楷体_GB2312" w:eastAsia="楷体_GB2312" w:cs="楷体_GB2312"/>
          <w:bCs/>
          <w:sz w:val="24"/>
          <w:szCs w:val="24"/>
        </w:rPr>
        <w:t>、</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承诺函</w:t>
      </w:r>
    </w:p>
    <w:p>
      <w:pPr>
        <w:pageBreakBefore w:val="0"/>
        <w:widowControl w:val="0"/>
        <w:kinsoku/>
        <w:wordWrap/>
        <w:overflowPunct/>
        <w:topLinePunct w:val="0"/>
        <w:autoSpaceDE/>
        <w:autoSpaceDN/>
        <w:bidi w:val="0"/>
        <w:adjustRightInd/>
        <w:snapToGrid/>
        <w:spacing w:line="400" w:lineRule="exact"/>
        <w:textAlignment w:val="auto"/>
        <w:rPr>
          <w:rFonts w:hint="eastAsia" w:eastAsia="楷体_GB2312"/>
          <w:lang w:val="en-US" w:eastAsia="zh-CN"/>
        </w:rPr>
      </w:pPr>
      <w:r>
        <w:rPr>
          <w:rFonts w:hint="eastAsia" w:ascii="楷体_GB2312" w:hAnsi="楷体_GB2312" w:eastAsia="楷体_GB2312" w:cs="楷体_GB2312"/>
          <w:bCs/>
          <w:sz w:val="24"/>
          <w:szCs w:val="24"/>
          <w:lang w:val="en-US" w:eastAsia="zh-CN"/>
        </w:rPr>
        <w:t>2</w:t>
      </w:r>
      <w:r>
        <w:rPr>
          <w:rFonts w:hint="eastAsia" w:ascii="楷体_GB2312" w:hAnsi="楷体_GB2312" w:eastAsia="楷体_GB2312" w:cs="楷体_GB2312"/>
          <w:bCs/>
          <w:sz w:val="24"/>
          <w:szCs w:val="24"/>
        </w:rPr>
        <w:t>、报价书</w:t>
      </w:r>
    </w:p>
    <w:p>
      <w:pPr>
        <w:pageBreakBefore w:val="0"/>
        <w:widowControl w:val="0"/>
        <w:kinsoku/>
        <w:wordWrap/>
        <w:overflowPunct/>
        <w:topLinePunct w:val="0"/>
        <w:autoSpaceDE/>
        <w:autoSpaceDN/>
        <w:bidi w:val="0"/>
        <w:adjustRightInd/>
        <w:snapToGrid/>
        <w:spacing w:line="400" w:lineRule="exact"/>
        <w:textAlignment w:val="auto"/>
        <w:rPr>
          <w:rFonts w:hint="default" w:ascii="楷体_GB2312" w:hAnsi="楷体_GB2312" w:eastAsia="楷体_GB2312" w:cs="楷体_GB2312"/>
          <w:bCs/>
          <w:sz w:val="24"/>
          <w:szCs w:val="24"/>
          <w:lang w:val="en-US" w:eastAsia="zh-CN"/>
        </w:rPr>
      </w:pPr>
      <w:r>
        <w:rPr>
          <w:rFonts w:hint="eastAsia" w:ascii="楷体_GB2312" w:hAnsi="楷体_GB2312" w:eastAsia="楷体_GB2312" w:cs="楷体_GB2312"/>
          <w:bCs/>
          <w:sz w:val="24"/>
          <w:szCs w:val="24"/>
          <w:lang w:val="en-US" w:eastAsia="zh-CN"/>
        </w:rPr>
        <w:t>3</w:t>
      </w:r>
      <w:r>
        <w:rPr>
          <w:rFonts w:hint="eastAsia" w:ascii="楷体_GB2312" w:hAnsi="楷体_GB2312" w:eastAsia="楷体_GB2312" w:cs="楷体_GB2312"/>
          <w:bCs/>
          <w:sz w:val="24"/>
          <w:szCs w:val="24"/>
        </w:rPr>
        <w:t>、《法定代表人授权委托书》</w:t>
      </w:r>
      <w:r>
        <w:rPr>
          <w:rFonts w:hint="eastAsia" w:ascii="楷体_GB2312" w:hAnsi="楷体_GB2312" w:eastAsia="楷体_GB2312" w:cs="楷体_GB2312"/>
          <w:bCs/>
          <w:sz w:val="24"/>
          <w:szCs w:val="24"/>
          <w:lang w:val="en-US" w:eastAsia="zh-CN"/>
        </w:rPr>
        <w:t>及法人身份证复印件（如无授权人则只提供法人身份证复印件）</w:t>
      </w:r>
    </w:p>
    <w:p>
      <w:pPr>
        <w:pageBreakBefore w:val="0"/>
        <w:widowControl w:val="0"/>
        <w:kinsoku/>
        <w:wordWrap/>
        <w:overflowPunct/>
        <w:topLinePunct w:val="0"/>
        <w:autoSpaceDE/>
        <w:autoSpaceDN/>
        <w:bidi w:val="0"/>
        <w:adjustRightInd/>
        <w:snapToGrid/>
        <w:spacing w:line="400" w:lineRule="exact"/>
        <w:textAlignment w:val="auto"/>
        <w:rPr>
          <w:rFonts w:hint="default" w:ascii="楷体_GB2312" w:hAnsi="楷体_GB2312" w:eastAsia="楷体_GB2312" w:cs="楷体_GB2312"/>
          <w:bCs/>
          <w:sz w:val="24"/>
          <w:szCs w:val="24"/>
          <w:lang w:val="en-US" w:eastAsia="zh-CN"/>
        </w:rPr>
      </w:pPr>
      <w:r>
        <w:rPr>
          <w:rFonts w:hint="eastAsia" w:ascii="楷体_GB2312" w:hAnsi="楷体_GB2312" w:eastAsia="楷体_GB2312" w:cs="楷体_GB2312"/>
          <w:bCs/>
          <w:sz w:val="24"/>
          <w:szCs w:val="24"/>
          <w:lang w:val="en-US" w:eastAsia="zh-CN"/>
        </w:rPr>
        <w:t>4、其他文件（无重大违法记录声明函）</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（二）填写要求:《</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承诺函》、《报价书》、《法定代表人授权委托书》</w:t>
      </w:r>
      <w:r>
        <w:rPr>
          <w:rFonts w:hint="eastAsia" w:ascii="楷体_GB2312" w:hAnsi="楷体_GB2312" w:eastAsia="楷体_GB2312" w:cs="楷体_GB2312"/>
          <w:bCs/>
          <w:sz w:val="24"/>
          <w:szCs w:val="24"/>
          <w:lang w:eastAsia="zh-CN"/>
        </w:rPr>
        <w:t>，</w:t>
      </w:r>
      <w:r>
        <w:rPr>
          <w:rFonts w:hint="eastAsia" w:ascii="楷体_GB2312" w:hAnsi="楷体_GB2312" w:eastAsia="楷体_GB2312" w:cs="楷体_GB2312"/>
          <w:bCs/>
          <w:sz w:val="24"/>
          <w:szCs w:val="24"/>
          <w:lang w:val="en-US" w:eastAsia="zh-CN"/>
        </w:rPr>
        <w:t>供应商</w:t>
      </w:r>
      <w:r>
        <w:rPr>
          <w:rFonts w:hint="eastAsia" w:ascii="楷体_GB2312" w:hAnsi="楷体_GB2312" w:eastAsia="楷体_GB2312" w:cs="楷体_GB2312"/>
          <w:bCs/>
          <w:sz w:val="24"/>
          <w:szCs w:val="24"/>
        </w:rPr>
        <w:t>应完整地按照</w:t>
      </w:r>
      <w:r>
        <w:rPr>
          <w:rFonts w:hint="eastAsia" w:ascii="楷体_GB2312" w:hAnsi="楷体_GB2312" w:eastAsia="楷体_GB2312" w:cs="楷体_GB2312"/>
          <w:bCs/>
          <w:sz w:val="24"/>
          <w:szCs w:val="24"/>
          <w:lang w:val="en-US" w:eastAsia="zh-CN"/>
        </w:rPr>
        <w:t>询比价</w:t>
      </w:r>
      <w:r>
        <w:rPr>
          <w:rFonts w:hint="eastAsia" w:ascii="楷体_GB2312" w:hAnsi="楷体_GB2312" w:eastAsia="楷体_GB2312" w:cs="楷体_GB2312"/>
          <w:bCs/>
          <w:sz w:val="24"/>
          <w:szCs w:val="24"/>
        </w:rPr>
        <w:t>文件中所提供格式填写。</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书中的企业的名称应准确无误，并与通过资格审核的名称一致。</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（三）材料递交时间和地点按</w:t>
      </w:r>
      <w:r>
        <w:rPr>
          <w:rFonts w:hint="eastAsia" w:ascii="楷体_GB2312" w:hAnsi="楷体_GB2312" w:eastAsia="楷体_GB2312" w:cs="楷体_GB2312"/>
          <w:bCs/>
          <w:sz w:val="24"/>
          <w:szCs w:val="24"/>
          <w:lang w:val="en-US" w:eastAsia="zh-CN"/>
        </w:rPr>
        <w:t>海南洋浦陆海国际贸易有限公司</w:t>
      </w:r>
      <w:r>
        <w:rPr>
          <w:rFonts w:hint="eastAsia" w:ascii="楷体_GB2312" w:hAnsi="楷体_GB2312" w:eastAsia="楷体_GB2312" w:cs="楷体_GB2312"/>
          <w:bCs/>
          <w:sz w:val="24"/>
          <w:szCs w:val="24"/>
        </w:rPr>
        <w:t>要求执行，因不可抗力原因，可酌情延长材料递交截止时间。</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（四）材料其它要求</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1、提供的资料必须真实、完整、合法。</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2、所有材料均须由持有法人代表授权书的被授权人递交。</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3、同一企业只允许委托一个被授权人参与申报。一个被授权人只能接受一家企业的委托。</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4、提供虚假资质证明文件的，一经发现立即取消其资格，并交由相关部门依法处理。</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5、申报材料应逐页加盖企业公章，复印件应清晰、完整。</w:t>
      </w:r>
    </w:p>
    <w:p>
      <w:pPr>
        <w:pStyle w:val="2"/>
        <w:pageBreakBefore w:val="0"/>
        <w:widowControl w:val="0"/>
        <w:kinsoku/>
        <w:wordWrap/>
        <w:overflowPunct/>
        <w:topLinePunct w:val="0"/>
        <w:autoSpaceDE/>
        <w:autoSpaceDN/>
        <w:bidi w:val="0"/>
        <w:adjustRightInd/>
        <w:snapToGrid/>
        <w:spacing w:before="0" w:line="400" w:lineRule="exact"/>
        <w:textAlignment w:val="auto"/>
        <w:rPr>
          <w:rFonts w:ascii="楷体_GB2312" w:hAnsi="楷体_GB2312" w:eastAsia="楷体_GB2312" w:cs="楷体_GB2312"/>
          <w:sz w:val="24"/>
          <w:szCs w:val="24"/>
        </w:rPr>
      </w:pPr>
      <w:bookmarkStart w:id="8" w:name="_Toc343700741"/>
      <w:bookmarkStart w:id="9" w:name="_Toc343692943"/>
      <w:r>
        <w:rPr>
          <w:rFonts w:hint="eastAsia" w:ascii="楷体_GB2312" w:hAnsi="楷体_GB2312" w:eastAsia="楷体_GB2312" w:cs="楷体_GB2312"/>
          <w:sz w:val="24"/>
          <w:szCs w:val="24"/>
        </w:rPr>
        <w:t>四、报价</w:t>
      </w:r>
      <w:bookmarkEnd w:id="8"/>
      <w:bookmarkEnd w:id="9"/>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bookmarkStart w:id="10" w:name="_Toc343700748"/>
      <w:bookmarkStart w:id="11" w:name="_Toc343692950"/>
      <w:r>
        <w:rPr>
          <w:rFonts w:hint="eastAsia" w:ascii="楷体_GB2312" w:hAnsi="楷体_GB2312" w:eastAsia="楷体_GB2312" w:cs="楷体_GB2312"/>
          <w:bCs/>
          <w:sz w:val="24"/>
          <w:szCs w:val="24"/>
        </w:rPr>
        <w:t>（一）</w:t>
      </w:r>
      <w:r>
        <w:rPr>
          <w:rFonts w:hint="eastAsia" w:ascii="楷体_GB2312" w:hAnsi="楷体_GB2312" w:eastAsia="楷体_GB2312" w:cs="楷体_GB2312"/>
          <w:bCs/>
          <w:sz w:val="24"/>
          <w:szCs w:val="24"/>
          <w:lang w:val="en-US" w:eastAsia="zh-CN"/>
        </w:rPr>
        <w:t>报价单位</w:t>
      </w:r>
      <w:r>
        <w:rPr>
          <w:rFonts w:hint="eastAsia" w:ascii="楷体_GB2312" w:hAnsi="楷体_GB2312" w:eastAsia="楷体_GB2312" w:cs="楷体_GB2312"/>
          <w:bCs/>
          <w:sz w:val="24"/>
          <w:szCs w:val="24"/>
        </w:rPr>
        <w:t>可在递交的材料中，依据文件的格式要求填报纸质版《报价书》，随</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材料一同送达。</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lang w:eastAsia="zh-CN"/>
        </w:rPr>
      </w:pPr>
      <w:r>
        <w:rPr>
          <w:rFonts w:hint="eastAsia" w:ascii="楷体_GB2312" w:hAnsi="楷体_GB2312" w:eastAsia="楷体_GB2312" w:cs="楷体_GB2312"/>
          <w:bCs/>
          <w:sz w:val="24"/>
          <w:szCs w:val="24"/>
        </w:rPr>
        <w:t>（二）</w:t>
      </w:r>
      <w:r>
        <w:rPr>
          <w:rFonts w:hint="eastAsia" w:ascii="楷体_GB2312" w:hAnsi="楷体_GB2312" w:eastAsia="楷体_GB2312" w:cs="楷体_GB2312"/>
          <w:bCs/>
          <w:sz w:val="24"/>
          <w:szCs w:val="24"/>
          <w:lang w:val="en-US" w:eastAsia="zh-CN"/>
        </w:rPr>
        <w:t>报价使用的计量单位</w:t>
      </w:r>
      <w:r>
        <w:rPr>
          <w:rFonts w:hint="eastAsia" w:ascii="楷体_GB2312" w:hAnsi="楷体_GB2312" w:eastAsia="楷体_GB2312" w:cs="楷体_GB2312"/>
          <w:bCs/>
          <w:sz w:val="24"/>
          <w:szCs w:val="24"/>
        </w:rPr>
        <w:t>应以</w:t>
      </w:r>
      <w:r>
        <w:rPr>
          <w:rFonts w:hint="eastAsia" w:ascii="楷体_GB2312" w:hAnsi="楷体_GB2312" w:eastAsia="楷体_GB2312" w:cs="楷体_GB2312"/>
          <w:bCs/>
          <w:sz w:val="24"/>
          <w:szCs w:val="24"/>
          <w:lang w:val="en-US" w:eastAsia="zh-CN"/>
        </w:rPr>
        <w:t>报价书约定的</w:t>
      </w:r>
      <w:r>
        <w:rPr>
          <w:rFonts w:hint="eastAsia" w:ascii="楷体_GB2312" w:hAnsi="楷体_GB2312" w:eastAsia="楷体_GB2312" w:cs="楷体_GB2312"/>
          <w:bCs/>
          <w:sz w:val="24"/>
          <w:szCs w:val="24"/>
        </w:rPr>
        <w:t>单位</w:t>
      </w:r>
      <w:r>
        <w:rPr>
          <w:rFonts w:hint="eastAsia" w:ascii="楷体_GB2312" w:hAnsi="楷体_GB2312" w:eastAsia="楷体_GB2312" w:cs="楷体_GB2312"/>
          <w:bCs/>
          <w:sz w:val="24"/>
          <w:szCs w:val="24"/>
          <w:lang w:val="en-US" w:eastAsia="zh-CN"/>
        </w:rPr>
        <w:t>为准。</w:t>
      </w:r>
    </w:p>
    <w:p>
      <w:pPr>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（三）报价使用货币为人民币，报价保留到小数点后</w:t>
      </w:r>
      <w:r>
        <w:rPr>
          <w:rFonts w:ascii="楷体_GB2312" w:hAnsi="楷体_GB2312" w:eastAsia="楷体_GB2312" w:cs="楷体_GB2312"/>
          <w:bCs/>
          <w:sz w:val="24"/>
          <w:szCs w:val="24"/>
        </w:rPr>
        <w:t>两位</w:t>
      </w:r>
      <w:r>
        <w:rPr>
          <w:rFonts w:hint="eastAsia" w:ascii="楷体_GB2312" w:hAnsi="楷体_GB2312" w:eastAsia="楷体_GB2312" w:cs="楷体_GB2312"/>
          <w:bCs/>
          <w:sz w:val="24"/>
          <w:szCs w:val="24"/>
        </w:rPr>
        <w:t>。</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default" w:ascii="楷体_GB2312" w:hAnsi="楷体_GB2312" w:eastAsia="楷体_GB2312" w:cs="楷体_GB2312"/>
          <w:bCs/>
          <w:sz w:val="24"/>
          <w:szCs w:val="24"/>
          <w:lang w:val="en-US" w:eastAsia="zh-CN"/>
        </w:rPr>
      </w:pPr>
      <w:r>
        <w:rPr>
          <w:rFonts w:hint="eastAsia" w:ascii="楷体_GB2312" w:hAnsi="楷体_GB2312" w:eastAsia="楷体_GB2312" w:cs="楷体_GB2312"/>
          <w:bCs/>
          <w:sz w:val="24"/>
          <w:szCs w:val="24"/>
        </w:rPr>
        <w:t>（四）报价</w:t>
      </w:r>
      <w:r>
        <w:rPr>
          <w:rFonts w:hint="eastAsia" w:ascii="楷体_GB2312" w:hAnsi="楷体_GB2312" w:eastAsia="楷体_GB2312" w:cs="楷体_GB2312"/>
          <w:bCs/>
          <w:sz w:val="24"/>
          <w:szCs w:val="24"/>
          <w:lang w:val="en-US" w:eastAsia="zh-CN"/>
        </w:rPr>
        <w:t>包含的服务内容以报价书约定的为准。</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Cs/>
          <w:sz w:val="24"/>
          <w:szCs w:val="24"/>
        </w:rPr>
        <w:t>（五）报价截至时间：以《</w:t>
      </w:r>
      <w:r>
        <w:rPr>
          <w:rFonts w:hint="eastAsia" w:ascii="楷体_GB2312" w:hAnsi="楷体_GB2312" w:eastAsia="楷体_GB2312" w:cs="楷体_GB2312"/>
          <w:bCs/>
          <w:sz w:val="24"/>
          <w:szCs w:val="24"/>
          <w:lang w:val="en-US" w:eastAsia="zh-CN"/>
        </w:rPr>
        <w:t>询比价函</w:t>
      </w:r>
      <w:r>
        <w:rPr>
          <w:rFonts w:hint="eastAsia" w:ascii="楷体_GB2312" w:hAnsi="楷体_GB2312" w:eastAsia="楷体_GB2312" w:cs="楷体_GB2312"/>
          <w:bCs/>
          <w:sz w:val="24"/>
          <w:szCs w:val="24"/>
        </w:rPr>
        <w:t>》</w:t>
      </w:r>
      <w:r>
        <w:rPr>
          <w:rFonts w:hint="eastAsia" w:ascii="楷体_GB2312" w:hAnsi="楷体_GB2312" w:eastAsia="楷体_GB2312" w:cs="楷体_GB2312"/>
          <w:sz w:val="24"/>
          <w:szCs w:val="24"/>
        </w:rPr>
        <w:t>公布的时间为准。</w:t>
      </w:r>
    </w:p>
    <w:p>
      <w:pPr>
        <w:pStyle w:val="4"/>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pStyle w:val="4"/>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pStyle w:val="4"/>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pStyle w:val="2"/>
        <w:keepNext/>
        <w:keepLines/>
        <w:pageBreakBefore w:val="0"/>
        <w:widowControl w:val="0"/>
        <w:numPr>
          <w:ilvl w:val="0"/>
          <w:numId w:val="2"/>
        </w:numP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报价</w:t>
      </w:r>
      <w:r>
        <w:rPr>
          <w:rFonts w:hint="eastAsia" w:ascii="楷体_GB2312" w:hAnsi="楷体_GB2312" w:eastAsia="楷体_GB2312" w:cs="楷体_GB2312"/>
          <w:sz w:val="24"/>
          <w:szCs w:val="24"/>
        </w:rPr>
        <w:t>承诺函</w:t>
      </w:r>
      <w:bookmarkEnd w:id="10"/>
      <w:bookmarkEnd w:id="11"/>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both"/>
        <w:textAlignment w:val="auto"/>
        <w:rPr>
          <w:rFonts w:hint="eastAsia" w:ascii="楷体_GB2312" w:hAnsi="楷体_GB2312" w:eastAsia="楷体_GB2312" w:cs="楷体_GB2312"/>
          <w:b w:val="0"/>
          <w:bCs/>
          <w:kern w:val="2"/>
          <w:sz w:val="24"/>
          <w:szCs w:val="24"/>
          <w:lang w:val="en-US" w:eastAsia="zh-CN" w:bidi="ar-SA"/>
        </w:rPr>
      </w:pPr>
      <w:r>
        <w:rPr>
          <w:rFonts w:hint="eastAsia" w:ascii="楷体_GB2312" w:hAnsi="楷体_GB2312" w:eastAsia="楷体_GB2312" w:cs="楷体_GB2312"/>
          <w:b w:val="0"/>
          <w:bCs/>
          <w:kern w:val="2"/>
          <w:sz w:val="24"/>
          <w:szCs w:val="24"/>
          <w:lang w:val="en-US" w:eastAsia="zh-CN" w:bidi="ar-SA"/>
        </w:rPr>
        <w:t>海南洋浦陆海国际贸易有限公司：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 xml:space="preserve">    我单位对贵单位所发的</w:t>
      </w:r>
      <w:r>
        <w:rPr>
          <w:rFonts w:hint="eastAsia" w:ascii="楷体_GB2312" w:hAnsi="楷体_GB2312" w:eastAsia="楷体_GB2312" w:cs="楷体_GB2312"/>
          <w:bCs/>
          <w:sz w:val="24"/>
          <w:szCs w:val="24"/>
          <w:lang w:val="en-US" w:eastAsia="zh-CN"/>
        </w:rPr>
        <w:t>询比价</w:t>
      </w:r>
      <w:r>
        <w:rPr>
          <w:rFonts w:hint="eastAsia" w:ascii="楷体_GB2312" w:hAnsi="楷体_GB2312" w:eastAsia="楷体_GB2312" w:cs="楷体_GB2312"/>
          <w:bCs/>
          <w:sz w:val="24"/>
          <w:szCs w:val="24"/>
        </w:rPr>
        <w:t>文件所有条款予以确认，并进一步承诺如下：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1、我单位所报的单价，已充分考虑了</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文件及采购合同要求</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单位应承担的所有义务及风险，由此造成或可能造成的费用我方已包含在报价中。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2、若我单位</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，除非贵单位要求，我单位将不主动要求调整采购合同条款。否则，贵单位可以随时取消我单位的</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3、我单位承诺不会因贵方对采购合同中的承包范围的调整而产生的异议。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4、我单位的《</w:t>
      </w: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承诺函》，将作为合同的组成部分。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5、若我单位没有</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，我单位将不要求贵方做任何解释。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6、我单位理解贵单位不以最低价为</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价的唯一选择。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7、若我单位</w:t>
      </w:r>
      <w:r>
        <w:rPr>
          <w:rFonts w:hint="eastAsia" w:ascii="楷体_GB2312" w:hAnsi="楷体_GB2312" w:eastAsia="楷体_GB2312" w:cs="楷体_GB2312"/>
          <w:bCs/>
          <w:sz w:val="24"/>
          <w:szCs w:val="24"/>
          <w:lang w:eastAsia="zh-CN"/>
        </w:rPr>
        <w:t>成交</w:t>
      </w:r>
      <w:r>
        <w:rPr>
          <w:rFonts w:hint="eastAsia" w:ascii="楷体_GB2312" w:hAnsi="楷体_GB2312" w:eastAsia="楷体_GB2312" w:cs="楷体_GB2312"/>
          <w:bCs/>
          <w:sz w:val="24"/>
          <w:szCs w:val="24"/>
        </w:rPr>
        <w:t>，我单位同意本确认函及所有文件作为合同的组成部分，与供货合同具有同样的法律效力。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8、我单位将严格按照</w:t>
      </w:r>
      <w:r>
        <w:rPr>
          <w:rFonts w:hint="eastAsia" w:ascii="楷体_GB2312" w:hAnsi="楷体_GB2312" w:eastAsia="楷体_GB2312" w:cs="楷体_GB2312"/>
          <w:bCs/>
          <w:sz w:val="24"/>
          <w:szCs w:val="24"/>
          <w:lang w:eastAsia="zh-CN"/>
        </w:rPr>
        <w:t>贵单位</w:t>
      </w:r>
      <w:r>
        <w:rPr>
          <w:rFonts w:hint="eastAsia" w:ascii="楷体_GB2312" w:hAnsi="楷体_GB2312" w:eastAsia="楷体_GB2312" w:cs="楷体_GB2312"/>
          <w:bCs/>
          <w:sz w:val="24"/>
          <w:szCs w:val="24"/>
        </w:rPr>
        <w:t>的要求提供工程所需材料</w:t>
      </w:r>
      <w:r>
        <w:rPr>
          <w:rFonts w:hint="eastAsia" w:ascii="楷体_GB2312" w:hAnsi="楷体_GB2312" w:eastAsia="楷体_GB2312" w:cs="楷体_GB2312"/>
          <w:bCs/>
          <w:sz w:val="24"/>
          <w:szCs w:val="24"/>
          <w:lang w:eastAsia="zh-CN"/>
        </w:rPr>
        <w:t>及品牌要求</w:t>
      </w:r>
      <w:r>
        <w:rPr>
          <w:rFonts w:hint="eastAsia" w:ascii="楷体_GB2312" w:hAnsi="楷体_GB2312" w:eastAsia="楷体_GB2312" w:cs="楷体_GB2312"/>
          <w:bCs/>
          <w:sz w:val="24"/>
          <w:szCs w:val="24"/>
        </w:rPr>
        <w:t>，在供货过程中</w:t>
      </w:r>
      <w:r>
        <w:rPr>
          <w:rFonts w:hint="eastAsia" w:ascii="楷体_GB2312" w:hAnsi="楷体_GB2312" w:eastAsia="楷体_GB2312" w:cs="楷体_GB2312"/>
          <w:bCs/>
          <w:sz w:val="24"/>
          <w:szCs w:val="24"/>
          <w:lang w:eastAsia="zh-CN"/>
        </w:rPr>
        <w:t>确保材料复试检测合格，如</w:t>
      </w:r>
      <w:r>
        <w:rPr>
          <w:rFonts w:hint="eastAsia" w:ascii="楷体_GB2312" w:hAnsi="楷体_GB2312" w:eastAsia="楷体_GB2312" w:cs="楷体_GB2312"/>
          <w:bCs/>
          <w:sz w:val="24"/>
          <w:szCs w:val="24"/>
        </w:rPr>
        <w:t>出现的质量问题我单位将及时调换合格材料进场，如因材料质量问题而造成工期延误，我单位承诺接受每延误一天处以人民币</w:t>
      </w:r>
      <w:r>
        <w:rPr>
          <w:rFonts w:hint="eastAsia" w:ascii="楷体_GB2312" w:hAnsi="楷体_GB2312" w:eastAsia="楷体_GB2312" w:cs="楷体_GB2312"/>
          <w:bCs/>
          <w:sz w:val="24"/>
          <w:szCs w:val="24"/>
          <w:lang w:val="en-US" w:eastAsia="zh-CN"/>
        </w:rPr>
        <w:t>10000</w:t>
      </w:r>
      <w:r>
        <w:rPr>
          <w:rFonts w:hint="eastAsia" w:ascii="楷体_GB2312" w:hAnsi="楷体_GB2312" w:eastAsia="楷体_GB2312" w:cs="楷体_GB2312"/>
          <w:bCs/>
          <w:sz w:val="24"/>
          <w:szCs w:val="24"/>
        </w:rPr>
        <w:t>元的违约金，该违约金直接从结算货款中扣除，在供货过程中保证供应材料为</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文件中要求的厂家生产的合格材料，各类质量资料随货同行，并保证各类质量资料真实有效。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9、在供应时间上将严格按项目要求时间组织材料进场，我单位的保证措施是根据进场时间和规格型号要求提前做好备料，确因某些型号材料短期缺货将积极配合项目与业主监理协商沟通进行替换。如因材料进场时间问题而造成工期延误，我单位承诺接受每延误一天处以</w:t>
      </w:r>
      <w:r>
        <w:rPr>
          <w:rFonts w:hint="eastAsia" w:ascii="楷体_GB2312" w:hAnsi="楷体_GB2312" w:eastAsia="楷体_GB2312" w:cs="楷体_GB2312"/>
          <w:bCs/>
          <w:sz w:val="24"/>
          <w:szCs w:val="24"/>
          <w:lang w:val="en-US" w:eastAsia="zh-CN"/>
        </w:rPr>
        <w:t>10000</w:t>
      </w:r>
      <w:r>
        <w:rPr>
          <w:rFonts w:hint="eastAsia" w:ascii="楷体_GB2312" w:hAnsi="楷体_GB2312" w:eastAsia="楷体_GB2312" w:cs="楷体_GB2312"/>
          <w:bCs/>
          <w:sz w:val="24"/>
          <w:szCs w:val="24"/>
        </w:rPr>
        <w:t>元的违约金，该罚款直接从结算货款中扣除。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10、我单位将以良好的服务态度、饱满的工作热情和遵纪守法的工作作风做好对项目部的服务，认真履行项目部进场物资验收程序并积极配合进场物资的质量检查工作，让项目部满意，让贵司满意，让工程业主和监理满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11、我单位郑重承诺：我单位对</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单位提供的</w:t>
      </w:r>
      <w:r>
        <w:rPr>
          <w:rFonts w:hint="eastAsia" w:ascii="楷体_GB2312" w:hAnsi="楷体_GB2312" w:eastAsia="楷体_GB2312" w:cs="楷体_GB2312"/>
          <w:bCs/>
          <w:sz w:val="24"/>
          <w:szCs w:val="24"/>
          <w:lang w:eastAsia="zh-CN"/>
        </w:rPr>
        <w:t>询比价</w:t>
      </w:r>
      <w:r>
        <w:rPr>
          <w:rFonts w:hint="eastAsia" w:ascii="楷体_GB2312" w:hAnsi="楷体_GB2312" w:eastAsia="楷体_GB2312" w:cs="楷体_GB2312"/>
          <w:bCs/>
          <w:sz w:val="24"/>
          <w:szCs w:val="24"/>
        </w:rPr>
        <w:t>文件及合同条款完全接受和遵守。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_GB2312" w:hAnsi="楷体_GB2312" w:eastAsia="楷体_GB2312" w:cs="楷体_GB2312"/>
          <w:sz w:val="24"/>
          <w:szCs w:val="24"/>
        </w:rPr>
      </w:pPr>
      <w:r>
        <w:rPr>
          <w:rFonts w:hint="eastAsia" w:ascii="楷体_GB2312" w:hAnsi="楷体_GB2312" w:eastAsia="楷体_GB2312" w:cs="楷体_GB2312"/>
          <w:bCs/>
          <w:sz w:val="24"/>
          <w:szCs w:val="24"/>
        </w:rPr>
        <w:t>12、我单位承诺同意按照贵单位要求办理结算及支付方式；承诺按所提供本单位银行开户许可证的开户行名称及帐号接收结算款，保证不使用委托收款。</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lang w:val="en-US" w:eastAsia="zh-CN"/>
        </w:rPr>
        <w:t>报价</w:t>
      </w:r>
      <w:r>
        <w:rPr>
          <w:rFonts w:hint="eastAsia" w:ascii="楷体_GB2312" w:hAnsi="楷体_GB2312" w:eastAsia="楷体_GB2312" w:cs="楷体_GB2312"/>
          <w:bCs/>
          <w:sz w:val="24"/>
          <w:szCs w:val="24"/>
        </w:rPr>
        <w:t>单位：（章）</w:t>
      </w: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ascii="楷体_GB2312" w:hAnsi="楷体_GB2312" w:eastAsia="楷体_GB2312" w:cs="楷体_GB2312"/>
          <w:bCs/>
          <w:sz w:val="24"/>
          <w:szCs w:val="24"/>
        </w:rPr>
      </w:pPr>
      <w:r>
        <w:rPr>
          <w:rFonts w:hint="eastAsia" w:ascii="楷体_GB2312" w:hAnsi="楷体_GB2312" w:eastAsia="楷体_GB2312" w:cs="楷体_GB2312"/>
          <w:bCs/>
          <w:sz w:val="24"/>
          <w:szCs w:val="24"/>
        </w:rPr>
        <w:t>法人代表：（章）</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pPr>
      <w:r>
        <w:rPr>
          <w:rFonts w:hint="eastAsia" w:ascii="楷体_GB2312" w:hAnsi="楷体_GB2312" w:eastAsia="楷体_GB2312" w:cs="楷体_GB2312"/>
          <w:bCs/>
          <w:sz w:val="24"/>
          <w:szCs w:val="24"/>
        </w:rPr>
        <w:t>日    期：</w:t>
      </w:r>
    </w:p>
    <w:p/>
    <w:p>
      <w:pPr>
        <w:pStyle w:val="2"/>
        <w:numPr>
          <w:ilvl w:val="0"/>
          <w:numId w:val="0"/>
        </w:numPr>
        <w:spacing w:before="0" w:line="240" w:lineRule="auto"/>
        <w:ind w:leftChars="0"/>
        <w:jc w:val="center"/>
        <w:rPr>
          <w:rFonts w:ascii="楷体_GB2312" w:hAnsi="楷体_GB2312" w:eastAsia="楷体_GB2312" w:cs="楷体_GB2312"/>
          <w:sz w:val="24"/>
          <w:szCs w:val="24"/>
        </w:rPr>
      </w:pPr>
      <w:bookmarkStart w:id="12" w:name="_Toc343700749"/>
      <w:bookmarkStart w:id="13" w:name="_Toc343692951"/>
      <w:r>
        <w:rPr>
          <w:rFonts w:hint="eastAsia" w:ascii="楷体_GB2312" w:hAnsi="楷体_GB2312" w:eastAsia="楷体_GB2312" w:cs="楷体_GB2312"/>
          <w:sz w:val="24"/>
          <w:szCs w:val="24"/>
          <w:lang w:val="en-US" w:eastAsia="zh-CN"/>
        </w:rPr>
        <w:t>六、</w:t>
      </w:r>
      <w:r>
        <w:rPr>
          <w:rFonts w:hint="eastAsia" w:ascii="楷体_GB2312" w:hAnsi="楷体_GB2312" w:eastAsia="楷体_GB2312" w:cs="楷体_GB2312"/>
          <w:sz w:val="24"/>
          <w:szCs w:val="24"/>
        </w:rPr>
        <w:t>法定代表人授权书</w:t>
      </w:r>
      <w:bookmarkEnd w:id="12"/>
      <w:bookmarkEnd w:id="13"/>
    </w:p>
    <w:p>
      <w:pPr>
        <w:adjustRightInd w:val="0"/>
        <w:snapToGrid w:val="0"/>
        <w:spacing w:line="480" w:lineRule="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致：</w:t>
      </w:r>
      <w:r>
        <w:rPr>
          <w:rFonts w:hint="eastAsia" w:ascii="楷体_GB2312" w:hAnsi="楷体_GB2312" w:eastAsia="楷体_GB2312" w:cs="楷体_GB2312"/>
          <w:sz w:val="24"/>
          <w:szCs w:val="24"/>
          <w:lang w:val="en-US" w:eastAsia="zh-CN"/>
        </w:rPr>
        <w:t>海南洋浦陆海国际贸易有限公司</w:t>
      </w:r>
    </w:p>
    <w:p>
      <w:pPr>
        <w:snapToGrid w:val="0"/>
        <w:spacing w:line="480" w:lineRule="auto"/>
        <w:ind w:firstLine="480" w:firstLineChars="20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本授权书声明：位于</w:t>
      </w:r>
      <w:r>
        <w:rPr>
          <w:rFonts w:hint="eastAsia" w:ascii="楷体_GB2312" w:hAnsi="楷体_GB2312" w:eastAsia="楷体_GB2312" w:cs="楷体_GB2312"/>
          <w:sz w:val="24"/>
          <w:szCs w:val="24"/>
          <w:u w:val="single"/>
        </w:rPr>
        <w:t xml:space="preserve">（公司地址）               </w:t>
      </w:r>
      <w:r>
        <w:rPr>
          <w:rFonts w:hint="eastAsia" w:ascii="楷体_GB2312" w:hAnsi="楷体_GB2312" w:eastAsia="楷体_GB2312" w:cs="楷体_GB2312"/>
          <w:sz w:val="24"/>
          <w:szCs w:val="24"/>
        </w:rPr>
        <w:t>的</w:t>
      </w:r>
      <w:r>
        <w:rPr>
          <w:rFonts w:hint="eastAsia" w:ascii="楷体_GB2312" w:hAnsi="楷体_GB2312" w:eastAsia="楷体_GB2312" w:cs="楷体_GB2312"/>
          <w:sz w:val="24"/>
          <w:szCs w:val="24"/>
          <w:u w:val="single"/>
        </w:rPr>
        <w:t xml:space="preserve">（公司名称）    </w:t>
      </w:r>
      <w:r>
        <w:rPr>
          <w:rFonts w:hint="eastAsia" w:ascii="楷体_GB2312" w:hAnsi="楷体_GB2312" w:eastAsia="楷体_GB2312" w:cs="楷体_GB2312"/>
          <w:sz w:val="24"/>
          <w:szCs w:val="24"/>
        </w:rPr>
        <w:t>的</w:t>
      </w:r>
      <w:r>
        <w:rPr>
          <w:rFonts w:hint="eastAsia" w:ascii="楷体_GB2312" w:hAnsi="楷体_GB2312" w:eastAsia="楷体_GB2312" w:cs="楷体_GB2312"/>
          <w:sz w:val="24"/>
          <w:szCs w:val="24"/>
          <w:u w:val="single"/>
        </w:rPr>
        <w:t xml:space="preserve">（法定代表人姓名）      </w:t>
      </w:r>
      <w:r>
        <w:rPr>
          <w:rFonts w:hint="eastAsia" w:ascii="楷体_GB2312" w:hAnsi="楷体_GB2312" w:eastAsia="楷体_GB2312" w:cs="楷体_GB2312"/>
          <w:sz w:val="24"/>
          <w:szCs w:val="24"/>
        </w:rPr>
        <w:t>代表本公司授权</w:t>
      </w:r>
      <w:r>
        <w:rPr>
          <w:rFonts w:hint="eastAsia" w:ascii="楷体_GB2312" w:hAnsi="楷体_GB2312" w:eastAsia="楷体_GB2312" w:cs="楷体_GB2312"/>
          <w:sz w:val="24"/>
          <w:szCs w:val="24"/>
          <w:u w:val="single"/>
        </w:rPr>
        <w:t xml:space="preserve">（被授权人姓名）      </w:t>
      </w:r>
      <w:r>
        <w:rPr>
          <w:rFonts w:hint="eastAsia" w:ascii="楷体_GB2312" w:hAnsi="楷体_GB2312" w:eastAsia="楷体_GB2312" w:cs="楷体_GB2312"/>
          <w:sz w:val="24"/>
          <w:szCs w:val="24"/>
        </w:rPr>
        <w:t>为本公司的唯一合法代理人，代表本公司参加</w:t>
      </w:r>
      <w:r>
        <w:rPr>
          <w:rFonts w:hint="eastAsia" w:ascii="楷体_GB2312" w:hAnsi="楷体_GB2312" w:eastAsia="楷体_GB2312" w:cs="楷体_GB2312"/>
          <w:sz w:val="24"/>
          <w:szCs w:val="24"/>
          <w:lang w:val="en-US" w:eastAsia="zh-CN"/>
        </w:rPr>
        <w:t>海南洋浦陆海国际贸易有限公司</w:t>
      </w:r>
      <w:r>
        <w:rPr>
          <w:rFonts w:hint="eastAsia" w:ascii="楷体_GB2312" w:hAnsi="楷体_GB2312" w:eastAsia="楷体_GB2312" w:cs="楷体_GB2312"/>
          <w:sz w:val="24"/>
          <w:szCs w:val="24"/>
          <w:u w:val="single"/>
          <w:lang w:val="en-US" w:eastAsia="zh-CN"/>
        </w:rPr>
        <w:t>砂石</w:t>
      </w:r>
      <w:r>
        <w:rPr>
          <w:rFonts w:hint="eastAsia" w:ascii="楷体_GB2312" w:hAnsi="楷体_GB2312" w:eastAsia="楷体_GB2312" w:cs="楷体_GB2312"/>
          <w:sz w:val="24"/>
          <w:szCs w:val="24"/>
        </w:rPr>
        <w:t>采购</w:t>
      </w:r>
      <w:r>
        <w:rPr>
          <w:rFonts w:hint="eastAsia" w:ascii="楷体_GB2312" w:hAnsi="楷体_GB2312" w:eastAsia="楷体_GB2312" w:cs="楷体_GB2312"/>
          <w:sz w:val="24"/>
          <w:szCs w:val="24"/>
          <w:lang w:eastAsia="zh-CN"/>
        </w:rPr>
        <w:t>询比价</w:t>
      </w:r>
      <w:r>
        <w:rPr>
          <w:rFonts w:hint="eastAsia" w:ascii="楷体_GB2312" w:hAnsi="楷体_GB2312" w:eastAsia="楷体_GB2312" w:cs="楷体_GB2312"/>
          <w:sz w:val="24"/>
          <w:szCs w:val="24"/>
        </w:rPr>
        <w:t>活动，并在整个</w:t>
      </w:r>
      <w:r>
        <w:rPr>
          <w:rFonts w:hint="eastAsia" w:ascii="楷体_GB2312" w:hAnsi="楷体_GB2312" w:eastAsia="楷体_GB2312" w:cs="楷体_GB2312"/>
          <w:sz w:val="24"/>
          <w:szCs w:val="24"/>
          <w:lang w:eastAsia="zh-CN"/>
        </w:rPr>
        <w:t>询比价</w:t>
      </w:r>
      <w:r>
        <w:rPr>
          <w:rFonts w:hint="eastAsia" w:ascii="楷体_GB2312" w:hAnsi="楷体_GB2312" w:eastAsia="楷体_GB2312" w:cs="楷体_GB2312"/>
          <w:sz w:val="24"/>
          <w:szCs w:val="24"/>
        </w:rPr>
        <w:t>采购活动中，以本公司名义全权处理包括递交企业和产品资质材料，确认相关信息，</w:t>
      </w:r>
      <w:r>
        <w:rPr>
          <w:rFonts w:hint="eastAsia" w:ascii="楷体_GB2312" w:hAnsi="楷体_GB2312" w:eastAsia="楷体_GB2312" w:cs="楷体_GB2312"/>
          <w:sz w:val="24"/>
          <w:szCs w:val="24"/>
          <w:lang w:eastAsia="zh-CN"/>
        </w:rPr>
        <w:t xml:space="preserve"> </w:t>
      </w:r>
      <w:r>
        <w:rPr>
          <w:rFonts w:hint="eastAsia" w:ascii="楷体_GB2312" w:hAnsi="楷体_GB2312" w:eastAsia="楷体_GB2312" w:cs="楷体_GB2312"/>
          <w:sz w:val="24"/>
          <w:szCs w:val="24"/>
        </w:rPr>
        <w:t>产品报价、议价，交纳相关费用，签订采购合同，执行和完成采购周期内的售后服务等一切与之有关的事务，并保证所提供的资质证明材料真实、合法、完整、有效。</w:t>
      </w:r>
    </w:p>
    <w:p>
      <w:pPr>
        <w:snapToGrid w:val="0"/>
        <w:spacing w:line="480" w:lineRule="auto"/>
        <w:ind w:firstLine="584"/>
        <w:jc w:val="left"/>
        <w:rPr>
          <w:rFonts w:ascii="楷体_GB2312" w:hAnsi="楷体_GB2312" w:eastAsia="楷体_GB2312" w:cs="楷体_GB2312"/>
          <w:sz w:val="24"/>
          <w:szCs w:val="24"/>
        </w:rPr>
      </w:pPr>
    </w:p>
    <w:p>
      <w:pPr>
        <w:snapToGrid w:val="0"/>
        <w:spacing w:line="480" w:lineRule="auto"/>
        <w:ind w:firstLine="600" w:firstLineChars="250"/>
        <w:rPr>
          <w:rFonts w:ascii="楷体_GB2312" w:hAnsi="楷体_GB2312" w:eastAsia="楷体_GB2312" w:cs="楷体_GB2312"/>
          <w:sz w:val="24"/>
          <w:szCs w:val="24"/>
        </w:rPr>
      </w:pPr>
      <w:r>
        <w:rPr>
          <w:rFonts w:hint="eastAsia" w:ascii="楷体_GB2312" w:hAnsi="楷体_GB2312" w:eastAsia="楷体_GB2312" w:cs="楷体_GB2312"/>
          <w:sz w:val="24"/>
          <w:szCs w:val="24"/>
        </w:rPr>
        <w:t xml:space="preserve">本授权书于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年   月   日签字生效，特此声明。</w:t>
      </w:r>
    </w:p>
    <w:p>
      <w:pPr>
        <w:spacing w:line="480" w:lineRule="auto"/>
        <w:ind w:firstLine="616" w:firstLineChars="257"/>
        <w:rPr>
          <w:rFonts w:ascii="楷体_GB2312" w:hAnsi="楷体_GB2312" w:eastAsia="楷体_GB2312" w:cs="楷体_GB2312"/>
          <w:sz w:val="24"/>
          <w:szCs w:val="24"/>
        </w:rPr>
      </w:pPr>
      <w:r>
        <w:rPr>
          <w:rFonts w:hint="eastAsia" w:ascii="楷体_GB2312" w:hAnsi="楷体_GB2312" w:eastAsia="楷体_GB2312" w:cs="楷体_GB2312"/>
          <w:sz w:val="24"/>
          <w:szCs w:val="24"/>
        </w:rPr>
        <w:t>授权期限为：   年   月   日起至本次采购期结束。授权期限内无特殊情况不变更合法代理人（被授权人）。</w:t>
      </w:r>
    </w:p>
    <w:p>
      <w:pPr>
        <w:snapToGrid w:val="0"/>
        <w:spacing w:line="480" w:lineRule="auto"/>
        <w:ind w:firstLine="480" w:firstLineChars="200"/>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
    <w:p>
      <w:pPr>
        <w:snapToGrid w:val="0"/>
        <w:spacing w:line="480" w:lineRule="auto"/>
        <w:ind w:firstLine="480" w:firstLineChars="200"/>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法定代表人(签字)</w:t>
      </w:r>
      <w:r>
        <w:rPr>
          <w:rFonts w:hint="eastAsia" w:ascii="楷体_GB2312" w:hAnsi="楷体_GB2312" w:eastAsia="楷体_GB2312" w:cs="楷体_GB2312"/>
          <w:sz w:val="24"/>
          <w:szCs w:val="24"/>
          <w:lang w:eastAsia="zh-CN"/>
        </w:rPr>
        <w:t>：</w:t>
      </w:r>
    </w:p>
    <w:p>
      <w:pPr>
        <w:snapToGrid w:val="0"/>
        <w:spacing w:line="480" w:lineRule="auto"/>
        <w:ind w:firstLine="480" w:firstLineChars="200"/>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被授权人(签字)</w:t>
      </w:r>
      <w:r>
        <w:rPr>
          <w:rFonts w:hint="eastAsia" w:ascii="楷体_GB2312" w:hAnsi="楷体_GB2312" w:eastAsia="楷体_GB2312" w:cs="楷体_GB2312"/>
          <w:sz w:val="24"/>
          <w:szCs w:val="24"/>
          <w:lang w:val="en-US" w:eastAsia="zh-CN"/>
        </w:rPr>
        <w:t>：</w:t>
      </w:r>
    </w:p>
    <w:p>
      <w:pPr>
        <w:snapToGrid w:val="0"/>
        <w:spacing w:line="480" w:lineRule="auto"/>
        <w:ind w:firstLine="480" w:firstLineChars="200"/>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授权单位名称（盖章）</w:t>
      </w:r>
    </w:p>
    <w:p>
      <w:pPr>
        <w:snapToGrid w:val="0"/>
        <w:spacing w:line="480" w:lineRule="auto"/>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联系电话</w:t>
      </w:r>
      <w:r>
        <w:rPr>
          <w:rFonts w:hint="eastAsia" w:ascii="楷体_GB2312" w:hAnsi="楷体_GB2312" w:eastAsia="楷体_GB2312" w:cs="楷体_GB2312"/>
          <w:sz w:val="24"/>
          <w:szCs w:val="24"/>
          <w:lang w:eastAsia="zh-CN"/>
        </w:rPr>
        <w:t>：</w:t>
      </w: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sz w:val="24"/>
          <w:szCs w:val="24"/>
          <w:highlight w:val="none"/>
        </w:rPr>
      </w:pPr>
      <w:r>
        <w:rPr>
          <w:rFonts w:hint="eastAsia" w:ascii="楷体_GB2312" w:hAnsi="楷体_GB2312" w:eastAsia="楷体_GB2312" w:cs="楷体_GB2312"/>
          <w:b/>
          <w:bCs/>
          <w:sz w:val="24"/>
          <w:szCs w:val="24"/>
          <w:highlight w:val="none"/>
          <w:lang w:val="en-US" w:eastAsia="zh-CN"/>
        </w:rPr>
        <w:t>七、</w:t>
      </w:r>
      <w:r>
        <w:rPr>
          <w:rFonts w:hint="eastAsia" w:ascii="楷体_GB2312" w:hAnsi="楷体_GB2312" w:eastAsia="楷体_GB2312" w:cs="楷体_GB2312"/>
          <w:b/>
          <w:bCs/>
          <w:sz w:val="24"/>
          <w:szCs w:val="24"/>
          <w:highlight w:val="none"/>
        </w:rPr>
        <w:t>无重大违法记录声明函</w:t>
      </w:r>
    </w:p>
    <w:p>
      <w:pPr>
        <w:pStyle w:val="25"/>
        <w:spacing w:line="360" w:lineRule="auto"/>
        <w:ind w:firstLine="480"/>
        <w:jc w:val="left"/>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近三年内参加过的政府采购和招投标活动中没有重大违法记录（提供声明函（格式自拟），供应商注册成立时间不足三年的，从注册时间起算），以下为格式参考：</w:t>
      </w:r>
    </w:p>
    <w:p>
      <w:pPr>
        <w:pStyle w:val="25"/>
        <w:spacing w:line="360" w:lineRule="auto"/>
        <w:ind w:firstLine="480"/>
        <w:jc w:val="left"/>
        <w:rPr>
          <w:rFonts w:hint="eastAsia" w:ascii="仿宋" w:hAnsi="仿宋" w:eastAsia="仿宋"/>
          <w:sz w:val="24"/>
          <w:szCs w:val="24"/>
          <w:highlight w:val="none"/>
        </w:rPr>
      </w:pPr>
      <w:r>
        <w:rPr>
          <w:rFonts w:hint="eastAsia" w:ascii="仿宋" w:hAnsi="仿宋" w:eastAsia="仿宋"/>
          <w:sz w:val="24"/>
          <w:szCs w:val="24"/>
          <w:highlight w:val="none"/>
        </w:rPr>
        <w:t xml:space="preserve"> </w:t>
      </w:r>
    </w:p>
    <w:p>
      <w:pPr>
        <w:pStyle w:val="25"/>
        <w:spacing w:line="360" w:lineRule="auto"/>
        <w:ind w:firstLine="0" w:firstLineChars="0"/>
        <w:jc w:val="center"/>
        <w:rPr>
          <w:rFonts w:hint="eastAsia" w:ascii="宋体" w:hAnsi="宋体"/>
          <w:b/>
          <w:bCs/>
          <w:kern w:val="44"/>
          <w:sz w:val="32"/>
          <w:szCs w:val="32"/>
          <w:highlight w:val="none"/>
        </w:rPr>
      </w:pPr>
      <w:r>
        <w:rPr>
          <w:rFonts w:hint="eastAsia" w:ascii="宋体" w:hAnsi="宋体"/>
          <w:b/>
          <w:bCs/>
          <w:kern w:val="44"/>
          <w:sz w:val="32"/>
          <w:szCs w:val="32"/>
          <w:highlight w:val="none"/>
        </w:rPr>
        <w:t>声明函</w:t>
      </w:r>
    </w:p>
    <w:p>
      <w:pPr>
        <w:pStyle w:val="25"/>
        <w:spacing w:line="360" w:lineRule="auto"/>
        <w:ind w:firstLine="0" w:firstLineChars="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海南洋浦陆海国际贸易有限公司 ：</w:t>
      </w:r>
    </w:p>
    <w:p>
      <w:pPr>
        <w:pStyle w:val="25"/>
        <w:spacing w:line="360" w:lineRule="auto"/>
        <w:ind w:firstLine="48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我司承诺近三年内参加过的政府采购和招投标活动中没有重大违法记录，且近三年内没有被行政监督部门认定为：①投标资格处于被取消、暂停的状态；②至投标截止之日止近三年骗取中标（骗取中标系指《中华人民共和国招标投标法》和《中华人民共和国招标投标法实施条例》中规定的骗取中标的行为）或严重违约或重大工程质量问题。</w:t>
      </w:r>
    </w:p>
    <w:p>
      <w:pPr>
        <w:pStyle w:val="25"/>
        <w:spacing w:line="360" w:lineRule="auto"/>
        <w:ind w:firstLine="48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附：未被列入中国执行信息公开网（http://zxgk.court.gov.cn/）的“失信被执行人”名单和国家企业信用信息公示系统“严重违法失信名单（黑名单）”的查询结果网页截图并加盖单位公章）。</w:t>
      </w:r>
    </w:p>
    <w:p>
      <w:pPr>
        <w:pStyle w:val="25"/>
        <w:spacing w:line="360" w:lineRule="auto"/>
        <w:ind w:firstLine="0" w:firstLineChars="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 xml:space="preserve"> </w:t>
      </w:r>
    </w:p>
    <w:p>
      <w:pPr>
        <w:pStyle w:val="25"/>
        <w:spacing w:line="360" w:lineRule="auto"/>
        <w:ind w:firstLine="0" w:firstLineChars="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 xml:space="preserve"> </w:t>
      </w:r>
    </w:p>
    <w:p>
      <w:pPr>
        <w:pStyle w:val="25"/>
        <w:spacing w:line="360" w:lineRule="auto"/>
        <w:ind w:firstLine="0" w:firstLineChars="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 xml:space="preserve">  </w:t>
      </w:r>
    </w:p>
    <w:p>
      <w:pPr>
        <w:pStyle w:val="25"/>
        <w:spacing w:line="360" w:lineRule="auto"/>
        <w:ind w:firstLine="0" w:firstLineChars="0"/>
        <w:jc w:val="left"/>
        <w:rPr>
          <w:rFonts w:hint="eastAsia" w:ascii="楷体_GB2312" w:hAnsi="楷体_GB2312" w:eastAsia="楷体_GB2312" w:cs="楷体_GB2312"/>
          <w:kern w:val="44"/>
          <w:sz w:val="24"/>
          <w:szCs w:val="24"/>
          <w:highlight w:val="none"/>
        </w:rPr>
      </w:pPr>
      <w:r>
        <w:rPr>
          <w:rFonts w:hint="eastAsia" w:ascii="楷体_GB2312" w:hAnsi="楷体_GB2312" w:eastAsia="楷体_GB2312" w:cs="楷体_GB2312"/>
          <w:kern w:val="44"/>
          <w:sz w:val="24"/>
          <w:szCs w:val="24"/>
          <w:highlight w:val="none"/>
        </w:rPr>
        <w:t xml:space="preserve"> </w:t>
      </w:r>
    </w:p>
    <w:p>
      <w:pPr>
        <w:pStyle w:val="34"/>
        <w:spacing w:line="360" w:lineRule="auto"/>
        <w:ind w:firstLine="1200" w:firstLineChars="500"/>
        <w:jc w:val="center"/>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 xml:space="preserve">                                        供应商：（盖单位章）</w:t>
      </w:r>
    </w:p>
    <w:p>
      <w:pPr>
        <w:pStyle w:val="34"/>
        <w:spacing w:line="360" w:lineRule="auto"/>
        <w:ind w:firstLine="1200" w:firstLineChars="500"/>
        <w:jc w:val="right"/>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 xml:space="preserve"> </w:t>
      </w:r>
    </w:p>
    <w:p>
      <w:pPr>
        <w:pStyle w:val="34"/>
        <w:spacing w:line="360" w:lineRule="auto"/>
        <w:ind w:firstLine="1200" w:firstLineChars="500"/>
        <w:jc w:val="center"/>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 xml:space="preserve">                      法定代表人或其被授权人：（签字）</w:t>
      </w:r>
    </w:p>
    <w:p>
      <w:pPr>
        <w:pStyle w:val="34"/>
        <w:spacing w:line="360" w:lineRule="auto"/>
        <w:ind w:firstLine="482"/>
        <w:jc w:val="right"/>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 xml:space="preserve"> </w:t>
      </w:r>
    </w:p>
    <w:p>
      <w:pPr>
        <w:pStyle w:val="34"/>
        <w:spacing w:line="360" w:lineRule="auto"/>
        <w:ind w:firstLine="482"/>
        <w:jc w:val="right"/>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 xml:space="preserve"> 年    月    日</w:t>
      </w: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25"/>
        <w:spacing w:line="360" w:lineRule="auto"/>
        <w:ind w:firstLine="0" w:firstLineChars="0"/>
        <w:jc w:val="center"/>
        <w:rPr>
          <w:rFonts w:hint="eastAsia" w:ascii="楷体_GB2312" w:hAnsi="楷体_GB2312" w:eastAsia="楷体_GB2312" w:cs="楷体_GB2312"/>
          <w:b/>
          <w:bCs/>
          <w:kern w:val="44"/>
          <w:sz w:val="24"/>
          <w:szCs w:val="24"/>
        </w:rPr>
      </w:pPr>
    </w:p>
    <w:p>
      <w:pPr>
        <w:pStyle w:val="34"/>
        <w:spacing w:line="360" w:lineRule="auto"/>
        <w:rPr>
          <w:rFonts w:hint="eastAsia" w:ascii="仿宋" w:hAnsi="仿宋" w:eastAsia="仿宋" w:cs="黑体"/>
          <w:b/>
          <w:kern w:val="0"/>
          <w:sz w:val="24"/>
          <w:szCs w:val="24"/>
          <w:highlight w:val="none"/>
        </w:rPr>
      </w:pPr>
    </w:p>
    <w:p>
      <w:pPr>
        <w:pStyle w:val="34"/>
        <w:spacing w:line="360" w:lineRule="auto"/>
        <w:rPr>
          <w:rFonts w:hint="eastAsia" w:ascii="仿宋" w:hAnsi="仿宋" w:eastAsia="仿宋" w:cs="黑体"/>
          <w:b/>
          <w:kern w:val="0"/>
          <w:sz w:val="24"/>
          <w:szCs w:val="24"/>
          <w:highlight w:val="none"/>
        </w:rPr>
      </w:pPr>
      <w:r>
        <w:rPr>
          <w:rFonts w:hint="eastAsia" w:ascii="仿宋" w:hAnsi="仿宋" w:eastAsia="仿宋" w:cs="黑体"/>
          <w:b/>
          <w:kern w:val="0"/>
          <w:sz w:val="24"/>
          <w:szCs w:val="24"/>
          <w:highlight w:val="none"/>
        </w:rPr>
        <w:t>附截图（需盖章）：</w:t>
      </w:r>
    </w:p>
    <w:p>
      <w:pPr>
        <w:pStyle w:val="25"/>
        <w:spacing w:line="360" w:lineRule="auto"/>
        <w:ind w:firstLine="0" w:firstLineChars="0"/>
        <w:jc w:val="left"/>
        <w:rPr>
          <w:rFonts w:hint="eastAsia" w:ascii="仿宋" w:hAnsi="仿宋" w:eastAsia="仿宋"/>
          <w:kern w:val="44"/>
          <w:sz w:val="24"/>
          <w:szCs w:val="24"/>
          <w:highlight w:val="none"/>
        </w:rPr>
      </w:pPr>
      <w:r>
        <w:rPr>
          <w:rFonts w:ascii="仿宋" w:hAnsi="仿宋" w:eastAsia="仿宋"/>
          <w:sz w:val="24"/>
          <w:szCs w:val="24"/>
          <w:highlight w:val="none"/>
        </w:rPr>
        <w:fldChar w:fldCharType="begin"/>
      </w:r>
      <w:r>
        <w:rPr>
          <w:rFonts w:ascii="仿宋" w:hAnsi="仿宋" w:eastAsia="仿宋"/>
          <w:sz w:val="24"/>
          <w:szCs w:val="24"/>
          <w:highlight w:val="none"/>
        </w:rPr>
        <w:instrText xml:space="preserve"> INCLUDEPICTURE "C:\\Users\\Lenovo\\AppData\\Local\\Temp\\ksohtml11256\\wps1.jpg" \* MERGEFORMATINET </w:instrText>
      </w:r>
      <w:r>
        <w:rPr>
          <w:rFonts w:ascii="仿宋" w:hAnsi="仿宋" w:eastAsia="仿宋"/>
          <w:sz w:val="24"/>
          <w:szCs w:val="24"/>
          <w:highlight w:val="none"/>
        </w:rPr>
        <w:fldChar w:fldCharType="separate"/>
      </w:r>
      <w:r>
        <w:rPr>
          <w:rFonts w:ascii="仿宋" w:hAnsi="仿宋" w:eastAsia="仿宋"/>
          <w:sz w:val="24"/>
          <w:szCs w:val="24"/>
          <w:highlight w:val="none"/>
        </w:rPr>
        <w:drawing>
          <wp:inline distT="0" distB="0" distL="114300" distR="114300">
            <wp:extent cx="5708650" cy="3796665"/>
            <wp:effectExtent l="0" t="0" r="6350" b="13335"/>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4"/>
                    <a:stretch>
                      <a:fillRect/>
                    </a:stretch>
                  </pic:blipFill>
                  <pic:spPr>
                    <a:xfrm>
                      <a:off x="0" y="0"/>
                      <a:ext cx="5708650" cy="3796665"/>
                    </a:xfrm>
                    <a:prstGeom prst="rect">
                      <a:avLst/>
                    </a:prstGeom>
                    <a:noFill/>
                    <a:ln>
                      <a:noFill/>
                    </a:ln>
                  </pic:spPr>
                </pic:pic>
              </a:graphicData>
            </a:graphic>
          </wp:inline>
        </w:drawing>
      </w:r>
      <w:r>
        <w:rPr>
          <w:rFonts w:ascii="仿宋" w:hAnsi="仿宋" w:eastAsia="仿宋"/>
          <w:sz w:val="24"/>
          <w:szCs w:val="24"/>
          <w:highlight w:val="none"/>
        </w:rPr>
        <w:fldChar w:fldCharType="end"/>
      </w:r>
      <w:r>
        <w:rPr>
          <w:rFonts w:ascii="仿宋" w:hAnsi="仿宋" w:eastAsia="仿宋"/>
          <w:sz w:val="24"/>
          <w:highlight w:val="none"/>
        </w:rPr>
        <w:fldChar w:fldCharType="begin"/>
      </w:r>
      <w:r>
        <w:rPr>
          <w:rFonts w:ascii="仿宋" w:hAnsi="仿宋" w:eastAsia="仿宋"/>
          <w:sz w:val="24"/>
          <w:highlight w:val="none"/>
        </w:rPr>
        <w:instrText xml:space="preserve"> INCLUDEPICTURE "C:\\Users\\Lenovo\\AppData\\Local\\Temp\\ksohtml11256\\wps2.jpg" \* MERGEFORMATINET </w:instrText>
      </w:r>
      <w:r>
        <w:rPr>
          <w:rFonts w:ascii="仿宋" w:hAnsi="仿宋" w:eastAsia="仿宋"/>
          <w:sz w:val="24"/>
          <w:highlight w:val="none"/>
        </w:rPr>
        <w:fldChar w:fldCharType="separate"/>
      </w:r>
      <w:r>
        <w:rPr>
          <w:rFonts w:ascii="仿宋" w:hAnsi="仿宋" w:eastAsia="仿宋"/>
          <w:sz w:val="24"/>
          <w:highlight w:val="none"/>
        </w:rPr>
        <w:drawing>
          <wp:inline distT="0" distB="0" distL="114300" distR="114300">
            <wp:extent cx="5796280" cy="3346450"/>
            <wp:effectExtent l="0" t="0" r="13970" b="6350"/>
            <wp:docPr id="1"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2"/>
                    <pic:cNvPicPr>
                      <a:picLocks noChangeAspect="1"/>
                    </pic:cNvPicPr>
                  </pic:nvPicPr>
                  <pic:blipFill>
                    <a:blip r:embed="rId5"/>
                    <a:stretch>
                      <a:fillRect/>
                    </a:stretch>
                  </pic:blipFill>
                  <pic:spPr>
                    <a:xfrm>
                      <a:off x="0" y="0"/>
                      <a:ext cx="5796280" cy="3346450"/>
                    </a:xfrm>
                    <a:prstGeom prst="rect">
                      <a:avLst/>
                    </a:prstGeom>
                    <a:noFill/>
                    <a:ln>
                      <a:noFill/>
                    </a:ln>
                  </pic:spPr>
                </pic:pic>
              </a:graphicData>
            </a:graphic>
          </wp:inline>
        </w:drawing>
      </w:r>
      <w:r>
        <w:rPr>
          <w:rFonts w:ascii="仿宋" w:hAnsi="仿宋" w:eastAsia="仿宋"/>
          <w:sz w:val="24"/>
          <w:highlight w:val="none"/>
        </w:rPr>
        <w:fldChar w:fldCharType="end"/>
      </w:r>
    </w:p>
    <w:p>
      <w:pPr>
        <w:spacing w:line="360" w:lineRule="auto"/>
        <w:rPr>
          <w:rFonts w:hint="eastAsia" w:ascii="仿宋" w:hAnsi="仿宋" w:eastAsia="仿宋"/>
          <w:sz w:val="24"/>
          <w:highlight w:val="none"/>
        </w:rPr>
      </w:pPr>
    </w:p>
    <w:p>
      <w:pPr>
        <w:pStyle w:val="25"/>
        <w:spacing w:line="360" w:lineRule="auto"/>
        <w:ind w:firstLine="0" w:firstLineChars="0"/>
        <w:jc w:val="center"/>
        <w:rPr>
          <w:rFonts w:hint="eastAsia" w:ascii="楷体_GB2312" w:hAnsi="楷体_GB2312" w:eastAsia="楷体_GB2312" w:cs="楷体_GB2312"/>
          <w:b/>
          <w:bCs/>
          <w:kern w:val="44"/>
          <w:sz w:val="24"/>
          <w:szCs w:val="24"/>
        </w:rPr>
        <w:sectPr>
          <w:pgSz w:w="11906" w:h="16838"/>
          <w:pgMar w:top="1440" w:right="1800" w:bottom="1247" w:left="1800" w:header="851" w:footer="992" w:gutter="0"/>
          <w:cols w:space="0" w:num="1"/>
          <w:docGrid w:type="lines" w:linePitch="312" w:charSpace="0"/>
        </w:sectPr>
      </w:pPr>
    </w:p>
    <w:p>
      <w:pPr>
        <w:pStyle w:val="25"/>
        <w:spacing w:line="360" w:lineRule="auto"/>
        <w:ind w:firstLine="0" w:firstLineChars="0"/>
        <w:jc w:val="center"/>
        <w:rPr>
          <w:rFonts w:ascii="楷体_GB2312" w:hAnsi="楷体_GB2312" w:eastAsia="楷体_GB2312" w:cs="楷体_GB2312"/>
          <w:b/>
          <w:bCs/>
          <w:kern w:val="44"/>
          <w:sz w:val="24"/>
          <w:szCs w:val="24"/>
        </w:rPr>
      </w:pPr>
      <w:r>
        <w:rPr>
          <w:rFonts w:hint="eastAsia" w:ascii="楷体_GB2312" w:hAnsi="楷体_GB2312" w:eastAsia="楷体_GB2312" w:cs="楷体_GB2312"/>
          <w:b/>
          <w:bCs/>
          <w:kern w:val="44"/>
          <w:sz w:val="24"/>
          <w:szCs w:val="24"/>
        </w:rPr>
        <w:t>第</w:t>
      </w:r>
      <w:r>
        <w:rPr>
          <w:rFonts w:hint="eastAsia" w:ascii="楷体_GB2312" w:hAnsi="楷体_GB2312" w:eastAsia="楷体_GB2312" w:cs="楷体_GB2312"/>
          <w:b/>
          <w:bCs/>
          <w:kern w:val="44"/>
          <w:sz w:val="24"/>
          <w:szCs w:val="24"/>
          <w:lang w:val="en-US" w:eastAsia="zh-CN"/>
        </w:rPr>
        <w:t>三</w:t>
      </w:r>
      <w:r>
        <w:rPr>
          <w:rFonts w:hint="eastAsia" w:ascii="楷体_GB2312" w:hAnsi="楷体_GB2312" w:eastAsia="楷体_GB2312" w:cs="楷体_GB2312"/>
          <w:b/>
          <w:bCs/>
          <w:kern w:val="44"/>
          <w:sz w:val="24"/>
          <w:szCs w:val="24"/>
        </w:rPr>
        <w:t>章报价书</w:t>
      </w:r>
    </w:p>
    <w:p>
      <w:pPr>
        <w:pStyle w:val="25"/>
        <w:keepNext w:val="0"/>
        <w:keepLines w:val="0"/>
        <w:pageBreakBefore w:val="0"/>
        <w:numPr>
          <w:ilvl w:val="0"/>
          <w:numId w:val="3"/>
        </w:numPr>
        <w:kinsoku/>
        <w:wordWrap/>
        <w:overflowPunct/>
        <w:topLinePunct w:val="0"/>
        <w:autoSpaceDE/>
        <w:autoSpaceDN/>
        <w:bidi w:val="0"/>
        <w:adjustRightInd/>
        <w:snapToGrid/>
        <w:spacing w:line="400" w:lineRule="exact"/>
        <w:ind w:firstLine="0" w:firstLineChars="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w:t>
      </w:r>
      <w:r>
        <w:rPr>
          <w:rFonts w:hint="eastAsia" w:ascii="楷体_GB2312" w:hAnsi="楷体_GB2312" w:eastAsia="楷体_GB2312" w:cs="楷体_GB2312"/>
          <w:sz w:val="24"/>
          <w:szCs w:val="24"/>
          <w:lang w:val="en-US" w:eastAsia="zh-CN"/>
        </w:rPr>
        <w:t>报价书</w:t>
      </w:r>
      <w:r>
        <w:rPr>
          <w:rFonts w:hint="eastAsia" w:ascii="楷体_GB2312" w:hAnsi="楷体_GB2312" w:eastAsia="楷体_GB2312" w:cs="楷体_GB2312"/>
          <w:sz w:val="24"/>
          <w:szCs w:val="24"/>
        </w:rPr>
        <w:t>计价货币、结算货币和支付货币均为人民币。</w:t>
      </w:r>
    </w:p>
    <w:p>
      <w:pPr>
        <w:pStyle w:val="25"/>
        <w:keepNext w:val="0"/>
        <w:keepLines w:val="0"/>
        <w:pageBreakBefore w:val="0"/>
        <w:kinsoku/>
        <w:wordWrap/>
        <w:overflowPunct/>
        <w:topLinePunct w:val="0"/>
        <w:autoSpaceDE/>
        <w:autoSpaceDN/>
        <w:bidi w:val="0"/>
        <w:adjustRightInd/>
        <w:snapToGrid/>
        <w:spacing w:line="400" w:lineRule="exact"/>
        <w:ind w:firstLine="0" w:firstLineChars="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二、付款方式见1.3，</w:t>
      </w:r>
      <w:r>
        <w:rPr>
          <w:rFonts w:hint="eastAsia" w:ascii="楷体_GB2312" w:hAnsi="楷体_GB2312" w:eastAsia="楷体_GB2312" w:cs="楷体_GB2312"/>
          <w:sz w:val="24"/>
          <w:szCs w:val="24"/>
        </w:rPr>
        <w:t>货物</w:t>
      </w:r>
      <w:r>
        <w:rPr>
          <w:rFonts w:hint="eastAsia" w:ascii="楷体_GB2312" w:hAnsi="楷体_GB2312" w:eastAsia="楷体_GB2312" w:cs="楷体_GB2312"/>
          <w:sz w:val="24"/>
          <w:szCs w:val="24"/>
          <w:lang w:val="en-US" w:eastAsia="zh-CN"/>
        </w:rPr>
        <w:t>固定价</w:t>
      </w:r>
      <w:r>
        <w:rPr>
          <w:rFonts w:hint="eastAsia" w:ascii="楷体_GB2312" w:hAnsi="楷体_GB2312" w:eastAsia="楷体_GB2312" w:cs="楷体_GB2312"/>
          <w:sz w:val="24"/>
          <w:szCs w:val="24"/>
        </w:rPr>
        <w:t>，具体单价细目详见下表。</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金额单位：元</w:t>
      </w:r>
      <w:r>
        <w:rPr>
          <w:rFonts w:hint="eastAsia" w:ascii="楷体_GB2312" w:hAnsi="楷体_GB2312" w:eastAsia="楷体_GB2312" w:cs="楷体_GB2312"/>
          <w:sz w:val="24"/>
          <w:szCs w:val="24"/>
          <w:lang w:eastAsia="zh-CN"/>
        </w:rPr>
        <w:t>）</w:t>
      </w:r>
    </w:p>
    <w:tbl>
      <w:tblPr>
        <w:tblStyle w:val="17"/>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76"/>
        <w:gridCol w:w="1230"/>
        <w:gridCol w:w="1025"/>
        <w:gridCol w:w="636"/>
        <w:gridCol w:w="1157"/>
        <w:gridCol w:w="1296"/>
        <w:gridCol w:w="121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6" w:type="dxa"/>
            <w:noWrap/>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076" w:type="dxa"/>
            <w:noWrap/>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区域</w:t>
            </w:r>
          </w:p>
        </w:tc>
        <w:tc>
          <w:tcPr>
            <w:tcW w:w="1230" w:type="dxa"/>
            <w:noWrap/>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1025" w:type="dxa"/>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规格型号</w:t>
            </w:r>
          </w:p>
        </w:tc>
        <w:tc>
          <w:tcPr>
            <w:tcW w:w="636" w:type="dxa"/>
            <w:noWrap w:val="0"/>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1157" w:type="dxa"/>
            <w:noWrap/>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不含税单价</w:t>
            </w:r>
          </w:p>
        </w:tc>
        <w:tc>
          <w:tcPr>
            <w:tcW w:w="1296" w:type="dxa"/>
            <w:noWrap/>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税费</w:t>
            </w:r>
          </w:p>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（税率13%）</w:t>
            </w:r>
          </w:p>
        </w:tc>
        <w:tc>
          <w:tcPr>
            <w:tcW w:w="1212" w:type="dxa"/>
            <w:noWrap/>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含税单价</w:t>
            </w:r>
          </w:p>
        </w:tc>
        <w:tc>
          <w:tcPr>
            <w:tcW w:w="708" w:type="dxa"/>
            <w:noWrap/>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6" w:type="dxa"/>
            <w:vMerge w:val="restart"/>
            <w:noWrap/>
            <w:vAlign w:val="center"/>
          </w:tcPr>
          <w:p>
            <w:pPr>
              <w:widowControl/>
              <w:spacing w:line="0" w:lineRule="atLeast"/>
              <w:jc w:val="center"/>
              <w:rPr>
                <w:rFonts w:ascii="宋体" w:hAnsi="宋体" w:cs="宋体"/>
                <w:color w:val="000000"/>
                <w:kern w:val="0"/>
                <w:sz w:val="18"/>
                <w:szCs w:val="18"/>
              </w:rPr>
            </w:pPr>
            <w:r>
              <w:rPr>
                <w:rFonts w:ascii="宋体" w:hAnsi="宋体" w:cs="宋体"/>
                <w:color w:val="000000"/>
                <w:kern w:val="0"/>
                <w:sz w:val="18"/>
                <w:szCs w:val="18"/>
              </w:rPr>
              <w:t>1</w:t>
            </w:r>
          </w:p>
        </w:tc>
        <w:tc>
          <w:tcPr>
            <w:tcW w:w="1076" w:type="dxa"/>
            <w:vMerge w:val="restart"/>
            <w:noWrap/>
            <w:vAlign w:val="center"/>
          </w:tcPr>
          <w:p>
            <w:pPr>
              <w:widowControl/>
              <w:spacing w:line="0" w:lineRule="atLeas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洋浦区域</w:t>
            </w:r>
          </w:p>
        </w:tc>
        <w:tc>
          <w:tcPr>
            <w:tcW w:w="1230" w:type="dxa"/>
            <w:noWrap/>
            <w:vAlign w:val="center"/>
          </w:tcPr>
          <w:p>
            <w:pPr>
              <w:widowControl/>
              <w:spacing w:line="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机制砂</w:t>
            </w:r>
          </w:p>
        </w:tc>
        <w:tc>
          <w:tcPr>
            <w:tcW w:w="1025" w:type="dxa"/>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w:t>
            </w:r>
          </w:p>
        </w:tc>
        <w:tc>
          <w:tcPr>
            <w:tcW w:w="636" w:type="dxa"/>
            <w:noWrap w:val="0"/>
            <w:vAlign w:val="center"/>
          </w:tcPr>
          <w:p>
            <w:pPr>
              <w:widowControl/>
              <w:spacing w:line="0" w:lineRule="atLeast"/>
              <w:jc w:val="center"/>
              <w:rPr>
                <w:rFonts w:hint="eastAsia" w:ascii="宋体" w:hAnsi="宋体" w:cs="宋体"/>
                <w:color w:val="000000"/>
                <w:kern w:val="0"/>
                <w:sz w:val="18"/>
                <w:szCs w:val="18"/>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default" w:ascii="宋体" w:hAnsi="宋体" w:cs="宋体"/>
                <w:color w:val="000000"/>
                <w:kern w:val="0"/>
                <w:sz w:val="18"/>
                <w:szCs w:val="18"/>
                <w:lang w:val="en-US" w:eastAsia="zh-CN"/>
              </w:rPr>
            </w:pPr>
          </w:p>
        </w:tc>
        <w:tc>
          <w:tcPr>
            <w:tcW w:w="1296" w:type="dxa"/>
            <w:noWrap/>
            <w:vAlign w:val="center"/>
          </w:tcPr>
          <w:p>
            <w:pPr>
              <w:widowControl/>
              <w:spacing w:line="0" w:lineRule="atLeast"/>
              <w:jc w:val="center"/>
              <w:rPr>
                <w:rFonts w:hint="eastAsia" w:ascii="宋体" w:hAnsi="宋体" w:cs="宋体"/>
                <w:color w:val="000000"/>
                <w:kern w:val="0"/>
                <w:sz w:val="18"/>
                <w:szCs w:val="18"/>
              </w:rPr>
            </w:pPr>
          </w:p>
        </w:tc>
        <w:tc>
          <w:tcPr>
            <w:tcW w:w="1212" w:type="dxa"/>
            <w:noWrap/>
            <w:vAlign w:val="center"/>
          </w:tcPr>
          <w:p>
            <w:pPr>
              <w:widowControl/>
              <w:spacing w:line="0" w:lineRule="atLeast"/>
              <w:jc w:val="center"/>
              <w:rPr>
                <w:rFonts w:ascii="宋体" w:hAnsi="宋体" w:cs="宋体"/>
                <w:color w:val="000000"/>
                <w:kern w:val="0"/>
                <w:sz w:val="18"/>
                <w:szCs w:val="18"/>
              </w:rPr>
            </w:pPr>
          </w:p>
        </w:tc>
        <w:tc>
          <w:tcPr>
            <w:tcW w:w="708" w:type="dxa"/>
            <w:noWrap/>
            <w:vAlign w:val="center"/>
          </w:tcPr>
          <w:p>
            <w:pPr>
              <w:widowControl/>
              <w:spacing w:line="0" w:lineRule="atLeast"/>
              <w:jc w:val="center"/>
              <w:rPr>
                <w:rFonts w:hint="default" w:ascii="宋体" w:hAnsi="宋体" w:eastAsia="宋体"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6" w:type="dxa"/>
            <w:vMerge w:val="continue"/>
            <w:noWrap/>
            <w:vAlign w:val="center"/>
          </w:tcPr>
          <w:p>
            <w:pPr>
              <w:widowControl/>
              <w:spacing w:line="0" w:lineRule="atLeast"/>
              <w:jc w:val="center"/>
              <w:rPr>
                <w:rFonts w:ascii="宋体" w:hAnsi="宋体" w:cs="宋体"/>
                <w:color w:val="000000"/>
                <w:kern w:val="0"/>
                <w:sz w:val="18"/>
                <w:szCs w:val="18"/>
              </w:rPr>
            </w:pPr>
          </w:p>
        </w:tc>
        <w:tc>
          <w:tcPr>
            <w:tcW w:w="1076" w:type="dxa"/>
            <w:vMerge w:val="continue"/>
            <w:noWrap/>
            <w:vAlign w:val="center"/>
          </w:tcPr>
          <w:p>
            <w:pPr>
              <w:widowControl/>
              <w:spacing w:line="0" w:lineRule="atLeast"/>
              <w:jc w:val="center"/>
              <w:rPr>
                <w:rFonts w:hint="eastAsia" w:ascii="宋体" w:hAnsi="宋体" w:cs="宋体"/>
                <w:color w:val="000000"/>
                <w:kern w:val="0"/>
                <w:sz w:val="18"/>
                <w:szCs w:val="18"/>
                <w:lang w:val="en-US" w:eastAsia="zh-CN"/>
              </w:rPr>
            </w:pPr>
          </w:p>
        </w:tc>
        <w:tc>
          <w:tcPr>
            <w:tcW w:w="1230" w:type="dxa"/>
            <w:noWrap/>
            <w:vAlign w:val="center"/>
          </w:tcPr>
          <w:p>
            <w:pPr>
              <w:widowControl/>
              <w:spacing w:line="0" w:lineRule="atLeast"/>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级配碎石</w:t>
            </w:r>
          </w:p>
        </w:tc>
        <w:tc>
          <w:tcPr>
            <w:tcW w:w="1025" w:type="dxa"/>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w:t>
            </w:r>
          </w:p>
        </w:tc>
        <w:tc>
          <w:tcPr>
            <w:tcW w:w="636" w:type="dxa"/>
            <w:noWrap w:val="0"/>
            <w:vAlign w:val="center"/>
          </w:tcPr>
          <w:p>
            <w:pPr>
              <w:widowControl/>
              <w:spacing w:line="0" w:lineRule="atLeast"/>
              <w:jc w:val="center"/>
              <w:rPr>
                <w:rFonts w:hint="eastAsia" w:ascii="宋体" w:hAnsi="宋体" w:cs="宋体"/>
                <w:color w:val="000000"/>
                <w:kern w:val="0"/>
                <w:sz w:val="18"/>
                <w:szCs w:val="18"/>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default" w:ascii="宋体" w:hAnsi="宋体" w:cs="宋体"/>
                <w:color w:val="000000"/>
                <w:kern w:val="0"/>
                <w:sz w:val="18"/>
                <w:szCs w:val="18"/>
                <w:lang w:val="en-US" w:eastAsia="zh-CN"/>
              </w:rPr>
            </w:pPr>
          </w:p>
        </w:tc>
        <w:tc>
          <w:tcPr>
            <w:tcW w:w="1296" w:type="dxa"/>
            <w:noWrap/>
            <w:vAlign w:val="center"/>
          </w:tcPr>
          <w:p>
            <w:pPr>
              <w:widowControl/>
              <w:spacing w:line="0" w:lineRule="atLeast"/>
              <w:jc w:val="center"/>
              <w:rPr>
                <w:rFonts w:hint="eastAsia" w:ascii="宋体" w:hAnsi="宋体" w:cs="宋体"/>
                <w:color w:val="000000"/>
                <w:kern w:val="0"/>
                <w:sz w:val="18"/>
                <w:szCs w:val="18"/>
              </w:rPr>
            </w:pPr>
          </w:p>
        </w:tc>
        <w:tc>
          <w:tcPr>
            <w:tcW w:w="1212" w:type="dxa"/>
            <w:noWrap/>
            <w:vAlign w:val="center"/>
          </w:tcPr>
          <w:p>
            <w:pPr>
              <w:widowControl/>
              <w:spacing w:line="0" w:lineRule="atLeast"/>
              <w:jc w:val="center"/>
              <w:rPr>
                <w:rFonts w:ascii="宋体" w:hAnsi="宋体" w:cs="宋体"/>
                <w:color w:val="000000"/>
                <w:kern w:val="0"/>
                <w:sz w:val="18"/>
                <w:szCs w:val="18"/>
              </w:rPr>
            </w:pPr>
          </w:p>
        </w:tc>
        <w:tc>
          <w:tcPr>
            <w:tcW w:w="708" w:type="dxa"/>
            <w:noWrap/>
            <w:vAlign w:val="center"/>
          </w:tcPr>
          <w:p>
            <w:pPr>
              <w:widowControl/>
              <w:spacing w:line="0" w:lineRule="atLeast"/>
              <w:jc w:val="center"/>
              <w:rPr>
                <w:rFonts w:hint="default" w:ascii="宋体" w:hAnsi="宋体" w:eastAsia="宋体"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6" w:type="dxa"/>
            <w:vMerge w:val="continue"/>
            <w:noWrap/>
            <w:vAlign w:val="center"/>
          </w:tcPr>
          <w:p>
            <w:pPr>
              <w:widowControl/>
              <w:spacing w:line="0" w:lineRule="atLeast"/>
              <w:jc w:val="center"/>
              <w:rPr>
                <w:rFonts w:ascii="宋体" w:hAnsi="宋体" w:cs="宋体"/>
                <w:color w:val="000000"/>
                <w:kern w:val="0"/>
                <w:sz w:val="18"/>
                <w:szCs w:val="18"/>
              </w:rPr>
            </w:pPr>
          </w:p>
        </w:tc>
        <w:tc>
          <w:tcPr>
            <w:tcW w:w="1076" w:type="dxa"/>
            <w:vMerge w:val="continue"/>
            <w:noWrap/>
            <w:vAlign w:val="center"/>
          </w:tcPr>
          <w:p>
            <w:pPr>
              <w:widowControl/>
              <w:spacing w:line="0" w:lineRule="atLeast"/>
              <w:jc w:val="center"/>
              <w:rPr>
                <w:rFonts w:hint="eastAsia" w:ascii="宋体" w:hAnsi="宋体" w:cs="宋体"/>
                <w:color w:val="000000"/>
                <w:kern w:val="0"/>
                <w:sz w:val="18"/>
                <w:szCs w:val="18"/>
                <w:lang w:val="en-US" w:eastAsia="zh-CN"/>
              </w:rPr>
            </w:pPr>
          </w:p>
        </w:tc>
        <w:tc>
          <w:tcPr>
            <w:tcW w:w="1230" w:type="dxa"/>
            <w:noWrap/>
            <w:vAlign w:val="center"/>
          </w:tcPr>
          <w:p>
            <w:pPr>
              <w:widowControl/>
              <w:spacing w:line="0" w:lineRule="atLeas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未筛分碎石</w:t>
            </w:r>
          </w:p>
        </w:tc>
        <w:tc>
          <w:tcPr>
            <w:tcW w:w="1025" w:type="dxa"/>
            <w:noWrap w:val="0"/>
            <w:vAlign w:val="center"/>
          </w:tcPr>
          <w:p>
            <w:pPr>
              <w:widowControl/>
              <w:spacing w:line="0" w:lineRule="atLeast"/>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w:t>
            </w:r>
          </w:p>
        </w:tc>
        <w:tc>
          <w:tcPr>
            <w:tcW w:w="636" w:type="dxa"/>
            <w:noWrap w:val="0"/>
            <w:vAlign w:val="center"/>
          </w:tcPr>
          <w:p>
            <w:pPr>
              <w:widowControl/>
              <w:spacing w:line="0" w:lineRule="atLeast"/>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default" w:ascii="宋体" w:hAnsi="宋体" w:cs="宋体"/>
                <w:color w:val="000000"/>
                <w:kern w:val="0"/>
                <w:sz w:val="18"/>
                <w:szCs w:val="18"/>
                <w:lang w:val="en-US" w:eastAsia="zh-CN"/>
              </w:rPr>
            </w:pPr>
          </w:p>
        </w:tc>
        <w:tc>
          <w:tcPr>
            <w:tcW w:w="1296" w:type="dxa"/>
            <w:noWrap/>
            <w:vAlign w:val="center"/>
          </w:tcPr>
          <w:p>
            <w:pPr>
              <w:widowControl/>
              <w:spacing w:line="0" w:lineRule="atLeast"/>
              <w:jc w:val="center"/>
              <w:rPr>
                <w:rFonts w:hint="eastAsia" w:ascii="宋体" w:hAnsi="宋体" w:cs="宋体"/>
                <w:color w:val="000000"/>
                <w:kern w:val="0"/>
                <w:sz w:val="18"/>
                <w:szCs w:val="18"/>
              </w:rPr>
            </w:pPr>
          </w:p>
        </w:tc>
        <w:tc>
          <w:tcPr>
            <w:tcW w:w="1212" w:type="dxa"/>
            <w:noWrap/>
            <w:vAlign w:val="center"/>
          </w:tcPr>
          <w:p>
            <w:pPr>
              <w:widowControl/>
              <w:spacing w:line="0" w:lineRule="atLeast"/>
              <w:jc w:val="center"/>
              <w:rPr>
                <w:rFonts w:ascii="宋体" w:hAnsi="宋体" w:cs="宋体"/>
                <w:color w:val="000000"/>
                <w:kern w:val="0"/>
                <w:sz w:val="18"/>
                <w:szCs w:val="18"/>
              </w:rPr>
            </w:pPr>
          </w:p>
        </w:tc>
        <w:tc>
          <w:tcPr>
            <w:tcW w:w="708" w:type="dxa"/>
            <w:noWrap/>
            <w:vAlign w:val="center"/>
          </w:tcPr>
          <w:p>
            <w:pPr>
              <w:widowControl/>
              <w:spacing w:line="0" w:lineRule="atLeast"/>
              <w:jc w:val="center"/>
              <w:rPr>
                <w:rFonts w:hint="default" w:ascii="宋体" w:hAnsi="宋体" w:eastAsia="宋体"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6" w:type="dxa"/>
            <w:vMerge w:val="restart"/>
            <w:noWrap/>
            <w:vAlign w:val="center"/>
          </w:tcPr>
          <w:p>
            <w:pPr>
              <w:widowControl/>
              <w:spacing w:line="0" w:lineRule="atLeas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076" w:type="dxa"/>
            <w:vMerge w:val="restart"/>
            <w:noWrap/>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白马井区域</w:t>
            </w:r>
          </w:p>
        </w:tc>
        <w:tc>
          <w:tcPr>
            <w:tcW w:w="1230" w:type="dxa"/>
            <w:noWrap/>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机制砂</w:t>
            </w:r>
          </w:p>
        </w:tc>
        <w:tc>
          <w:tcPr>
            <w:tcW w:w="1025" w:type="dxa"/>
            <w:noWrap w:val="0"/>
            <w:vAlign w:val="center"/>
          </w:tcPr>
          <w:p>
            <w:pPr>
              <w:widowControl/>
              <w:spacing w:line="0" w:lineRule="atLeast"/>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636" w:type="dxa"/>
            <w:noWrap w:val="0"/>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ascii="宋体" w:hAnsi="宋体" w:cs="宋体"/>
                <w:color w:val="000000"/>
                <w:kern w:val="0"/>
                <w:sz w:val="18"/>
                <w:szCs w:val="18"/>
              </w:rPr>
            </w:pPr>
          </w:p>
        </w:tc>
        <w:tc>
          <w:tcPr>
            <w:tcW w:w="1296" w:type="dxa"/>
            <w:noWrap/>
            <w:vAlign w:val="center"/>
          </w:tcPr>
          <w:p>
            <w:pPr>
              <w:widowControl/>
              <w:spacing w:line="0" w:lineRule="atLeast"/>
              <w:jc w:val="center"/>
              <w:rPr>
                <w:rFonts w:ascii="宋体" w:hAnsi="宋体" w:cs="宋体"/>
                <w:color w:val="000000"/>
                <w:kern w:val="0"/>
                <w:sz w:val="18"/>
                <w:szCs w:val="18"/>
              </w:rPr>
            </w:pPr>
          </w:p>
        </w:tc>
        <w:tc>
          <w:tcPr>
            <w:tcW w:w="1212" w:type="dxa"/>
            <w:noWrap/>
            <w:vAlign w:val="center"/>
          </w:tcPr>
          <w:p>
            <w:pPr>
              <w:widowControl/>
              <w:spacing w:line="0" w:lineRule="atLeast"/>
              <w:jc w:val="center"/>
              <w:rPr>
                <w:rFonts w:ascii="宋体" w:hAnsi="宋体" w:cs="宋体"/>
                <w:color w:val="000000"/>
                <w:kern w:val="0"/>
                <w:sz w:val="18"/>
                <w:szCs w:val="18"/>
              </w:rPr>
            </w:pPr>
          </w:p>
        </w:tc>
        <w:tc>
          <w:tcPr>
            <w:tcW w:w="708" w:type="dxa"/>
            <w:noWrap/>
            <w:vAlign w:val="center"/>
          </w:tcPr>
          <w:p>
            <w:pPr>
              <w:widowControl/>
              <w:spacing w:line="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6" w:type="dxa"/>
            <w:vMerge w:val="continue"/>
            <w:noWrap/>
            <w:vAlign w:val="center"/>
          </w:tcPr>
          <w:p>
            <w:pPr>
              <w:widowControl/>
              <w:spacing w:line="0" w:lineRule="atLeast"/>
              <w:jc w:val="center"/>
              <w:rPr>
                <w:rFonts w:hint="eastAsia" w:ascii="宋体" w:hAnsi="宋体" w:cs="宋体"/>
                <w:color w:val="000000"/>
                <w:kern w:val="0"/>
                <w:sz w:val="18"/>
                <w:szCs w:val="18"/>
                <w:lang w:val="en-US" w:eastAsia="zh-CN"/>
              </w:rPr>
            </w:pPr>
          </w:p>
        </w:tc>
        <w:tc>
          <w:tcPr>
            <w:tcW w:w="1076" w:type="dxa"/>
            <w:vMerge w:val="continue"/>
            <w:noWrap/>
            <w:vAlign w:val="center"/>
          </w:tcPr>
          <w:p>
            <w:pPr>
              <w:widowControl/>
              <w:spacing w:line="0" w:lineRule="atLeast"/>
              <w:jc w:val="center"/>
              <w:rPr>
                <w:rFonts w:hint="eastAsia" w:ascii="宋体" w:hAnsi="宋体" w:cs="宋体"/>
                <w:color w:val="000000"/>
                <w:kern w:val="0"/>
                <w:sz w:val="18"/>
                <w:szCs w:val="18"/>
              </w:rPr>
            </w:pPr>
          </w:p>
        </w:tc>
        <w:tc>
          <w:tcPr>
            <w:tcW w:w="1230" w:type="dxa"/>
            <w:noWrap/>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级配碎石</w:t>
            </w:r>
          </w:p>
        </w:tc>
        <w:tc>
          <w:tcPr>
            <w:tcW w:w="1025" w:type="dxa"/>
            <w:noWrap w:val="0"/>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w:t>
            </w:r>
          </w:p>
        </w:tc>
        <w:tc>
          <w:tcPr>
            <w:tcW w:w="636" w:type="dxa"/>
            <w:noWrap w:val="0"/>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ascii="宋体" w:hAnsi="宋体" w:cs="宋体"/>
                <w:color w:val="000000"/>
                <w:kern w:val="0"/>
                <w:sz w:val="18"/>
                <w:szCs w:val="18"/>
              </w:rPr>
            </w:pPr>
          </w:p>
        </w:tc>
        <w:tc>
          <w:tcPr>
            <w:tcW w:w="1296" w:type="dxa"/>
            <w:noWrap/>
            <w:vAlign w:val="center"/>
          </w:tcPr>
          <w:p>
            <w:pPr>
              <w:widowControl/>
              <w:spacing w:line="0" w:lineRule="atLeast"/>
              <w:jc w:val="center"/>
              <w:rPr>
                <w:rFonts w:ascii="宋体" w:hAnsi="宋体" w:cs="宋体"/>
                <w:color w:val="000000"/>
                <w:kern w:val="0"/>
                <w:sz w:val="18"/>
                <w:szCs w:val="18"/>
              </w:rPr>
            </w:pPr>
          </w:p>
        </w:tc>
        <w:tc>
          <w:tcPr>
            <w:tcW w:w="1212" w:type="dxa"/>
            <w:noWrap/>
            <w:vAlign w:val="center"/>
          </w:tcPr>
          <w:p>
            <w:pPr>
              <w:widowControl/>
              <w:spacing w:line="0" w:lineRule="atLeast"/>
              <w:jc w:val="center"/>
              <w:rPr>
                <w:rFonts w:ascii="宋体" w:hAnsi="宋体" w:cs="宋体"/>
                <w:color w:val="000000"/>
                <w:kern w:val="0"/>
                <w:sz w:val="18"/>
                <w:szCs w:val="18"/>
              </w:rPr>
            </w:pPr>
          </w:p>
        </w:tc>
        <w:tc>
          <w:tcPr>
            <w:tcW w:w="708" w:type="dxa"/>
            <w:noWrap/>
            <w:vAlign w:val="center"/>
          </w:tcPr>
          <w:p>
            <w:pPr>
              <w:widowControl/>
              <w:spacing w:line="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6" w:type="dxa"/>
            <w:vMerge w:val="continue"/>
            <w:noWrap/>
            <w:vAlign w:val="center"/>
          </w:tcPr>
          <w:p>
            <w:pPr>
              <w:widowControl/>
              <w:spacing w:line="0" w:lineRule="atLeast"/>
              <w:jc w:val="center"/>
              <w:rPr>
                <w:rFonts w:hint="eastAsia" w:ascii="宋体" w:hAnsi="宋体" w:cs="宋体"/>
                <w:color w:val="000000"/>
                <w:kern w:val="0"/>
                <w:sz w:val="18"/>
                <w:szCs w:val="18"/>
                <w:lang w:val="en-US" w:eastAsia="zh-CN"/>
              </w:rPr>
            </w:pPr>
          </w:p>
        </w:tc>
        <w:tc>
          <w:tcPr>
            <w:tcW w:w="1076" w:type="dxa"/>
            <w:vMerge w:val="continue"/>
            <w:noWrap/>
            <w:vAlign w:val="center"/>
          </w:tcPr>
          <w:p>
            <w:pPr>
              <w:widowControl/>
              <w:spacing w:line="0" w:lineRule="atLeast"/>
              <w:jc w:val="center"/>
              <w:rPr>
                <w:rFonts w:hint="eastAsia" w:ascii="宋体" w:hAnsi="宋体" w:cs="宋体"/>
                <w:color w:val="000000"/>
                <w:kern w:val="0"/>
                <w:sz w:val="18"/>
                <w:szCs w:val="18"/>
              </w:rPr>
            </w:pPr>
          </w:p>
        </w:tc>
        <w:tc>
          <w:tcPr>
            <w:tcW w:w="1230" w:type="dxa"/>
            <w:noWrap/>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未筛分碎石</w:t>
            </w:r>
          </w:p>
        </w:tc>
        <w:tc>
          <w:tcPr>
            <w:tcW w:w="1025" w:type="dxa"/>
            <w:noWrap w:val="0"/>
            <w:vAlign w:val="center"/>
          </w:tcPr>
          <w:p>
            <w:pPr>
              <w:widowControl/>
              <w:spacing w:line="0" w:lineRule="atLeas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w:t>
            </w:r>
          </w:p>
        </w:tc>
        <w:tc>
          <w:tcPr>
            <w:tcW w:w="636" w:type="dxa"/>
            <w:noWrap w:val="0"/>
            <w:vAlign w:val="center"/>
          </w:tcPr>
          <w:p>
            <w:pPr>
              <w:widowControl/>
              <w:spacing w:line="0" w:lineRule="atLeas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ascii="宋体" w:hAnsi="宋体" w:cs="宋体"/>
                <w:color w:val="000000"/>
                <w:kern w:val="0"/>
                <w:sz w:val="18"/>
                <w:szCs w:val="18"/>
              </w:rPr>
            </w:pPr>
          </w:p>
        </w:tc>
        <w:tc>
          <w:tcPr>
            <w:tcW w:w="1296" w:type="dxa"/>
            <w:noWrap/>
            <w:vAlign w:val="center"/>
          </w:tcPr>
          <w:p>
            <w:pPr>
              <w:widowControl/>
              <w:spacing w:line="0" w:lineRule="atLeast"/>
              <w:jc w:val="center"/>
              <w:rPr>
                <w:rFonts w:ascii="宋体" w:hAnsi="宋体" w:cs="宋体"/>
                <w:color w:val="000000"/>
                <w:kern w:val="0"/>
                <w:sz w:val="18"/>
                <w:szCs w:val="18"/>
              </w:rPr>
            </w:pPr>
          </w:p>
        </w:tc>
        <w:tc>
          <w:tcPr>
            <w:tcW w:w="1212" w:type="dxa"/>
            <w:noWrap/>
            <w:vAlign w:val="center"/>
          </w:tcPr>
          <w:p>
            <w:pPr>
              <w:widowControl/>
              <w:spacing w:line="0" w:lineRule="atLeast"/>
              <w:jc w:val="center"/>
              <w:rPr>
                <w:rFonts w:ascii="宋体" w:hAnsi="宋体" w:cs="宋体"/>
                <w:color w:val="000000"/>
                <w:kern w:val="0"/>
                <w:sz w:val="18"/>
                <w:szCs w:val="18"/>
              </w:rPr>
            </w:pPr>
          </w:p>
        </w:tc>
        <w:tc>
          <w:tcPr>
            <w:tcW w:w="708" w:type="dxa"/>
            <w:noWrap/>
            <w:vAlign w:val="center"/>
          </w:tcPr>
          <w:p>
            <w:pPr>
              <w:widowControl/>
              <w:spacing w:line="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736" w:type="dxa"/>
            <w:gridSpan w:val="9"/>
            <w:noWrap/>
            <w:vAlign w:val="center"/>
          </w:tcPr>
          <w:p>
            <w:pPr>
              <w:widowControl/>
              <w:spacing w:line="0" w:lineRule="atLeast"/>
              <w:jc w:val="left"/>
              <w:rPr>
                <w:rFonts w:hint="eastAsia" w:ascii="宋体" w:hAnsi="宋体" w:cs="宋体"/>
                <w:color w:val="000000"/>
                <w:kern w:val="0"/>
                <w:sz w:val="18"/>
                <w:szCs w:val="18"/>
              </w:rPr>
            </w:pPr>
            <w:r>
              <w:rPr>
                <w:rFonts w:hint="eastAsia" w:ascii="宋体" w:hAnsi="宋体" w:cs="宋体"/>
                <w:color w:val="000000"/>
                <w:kern w:val="0"/>
                <w:sz w:val="18"/>
                <w:szCs w:val="18"/>
              </w:rPr>
              <w:t>注：1、具体以到场实际合格物资数量为准办理结算；卖方不得以本表价款与买方发生任何经济与法律纠纷，否则视为卖方违约。</w:t>
            </w:r>
          </w:p>
          <w:p>
            <w:pPr>
              <w:widowControl/>
              <w:spacing w:line="0" w:lineRule="atLeast"/>
              <w:jc w:val="left"/>
              <w:rPr>
                <w:rFonts w:hint="eastAsia" w:ascii="宋体" w:hAnsi="宋体" w:cs="宋体"/>
                <w:color w:val="000000"/>
                <w:kern w:val="0"/>
                <w:sz w:val="18"/>
                <w:szCs w:val="18"/>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1.1本报价是含税到场综合价，包含货物价款、供应商出售该物资应缴纳税金及一切税费、包装费、保险费、运输费、装车费，以及其他运抵至甲方指定交货地点的一切费用；包括售后服务以及市场价格涨幅等的各类风险费用；以及其他所有相关服务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1.2计量方式：若现场有地磅，则过磅计量；不具备过磅条件的，以量方计量，出场磅单复核。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lang w:val="en-US" w:eastAsia="zh-CN"/>
        </w:rPr>
      </w:pPr>
      <w:r>
        <w:rPr>
          <w:rFonts w:hint="eastAsia" w:ascii="楷体_GB2312" w:hAnsi="楷体_GB2312" w:eastAsia="楷体_GB2312" w:cs="楷体_GB2312"/>
          <w:sz w:val="24"/>
          <w:szCs w:val="24"/>
          <w:lang w:val="en-US" w:eastAsia="zh-CN"/>
        </w:rPr>
        <w:t>1.3付款方式：月结，上月20日至本月19日为一个结算周期，结算周期结束后5日内双方就供应合格物资对账办理结算；对账结算完毕，乙方提交对应金额的增值税专用发票，甲方收到发票后15个工作日内以包括但不限于银行转账、银行承兑汇票支付当月结算物资价款的100%。（如甲方以银行承兑方式支付货款的，承兑贴现利息由甲方承担）</w:t>
      </w:r>
    </w:p>
    <w:p>
      <w:pPr>
        <w:pStyle w:val="4"/>
        <w:rPr>
          <w:rFonts w:hint="eastAsia" w:ascii="楷体_GB2312" w:hAnsi="楷体_GB2312" w:eastAsia="楷体_GB2312" w:cs="楷体_GB2312"/>
          <w:sz w:val="24"/>
          <w:szCs w:val="24"/>
          <w:lang w:val="en-US" w:eastAsia="zh-CN"/>
        </w:rPr>
      </w:pPr>
    </w:p>
    <w:p>
      <w:pPr>
        <w:pStyle w:val="4"/>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附件</w:t>
      </w:r>
    </w:p>
    <w:p>
      <w:pPr>
        <w:jc w:val="both"/>
        <w:rPr>
          <w:rFonts w:hint="eastAsia" w:ascii="宋体" w:hAnsi="宋体" w:eastAsia="宋体" w:cs="宋体"/>
          <w:color w:val="auto"/>
          <w:sz w:val="44"/>
          <w:highlight w:val="none"/>
        </w:rPr>
      </w:pPr>
    </w:p>
    <w:p>
      <w:pPr>
        <w:jc w:val="center"/>
        <w:rPr>
          <w:rFonts w:hint="eastAsia" w:ascii="宋体" w:hAnsi="宋体" w:eastAsia="宋体" w:cs="宋体"/>
          <w:color w:val="auto"/>
          <w:sz w:val="44"/>
          <w:highlight w:val="none"/>
        </w:rPr>
      </w:pPr>
    </w:p>
    <w:p>
      <w:pPr>
        <w:jc w:val="center"/>
        <w:rPr>
          <w:rFonts w:hint="eastAsia" w:ascii="仿宋" w:hAnsi="仿宋" w:eastAsia="仿宋" w:cs="仿宋"/>
          <w:color w:val="auto"/>
          <w:sz w:val="44"/>
          <w:highlight w:val="none"/>
        </w:rPr>
      </w:pPr>
      <w:r>
        <w:rPr>
          <w:rFonts w:hint="eastAsia" w:ascii="仿宋" w:hAnsi="仿宋" w:eastAsia="仿宋" w:cs="仿宋"/>
          <w:color w:val="auto"/>
          <w:sz w:val="44"/>
          <w:highlight w:val="none"/>
        </w:rPr>
        <w:t>合同条款及格式</w:t>
      </w:r>
    </w:p>
    <w:p>
      <w:pPr>
        <w:jc w:val="center"/>
        <w:rPr>
          <w:rFonts w:hint="eastAsia" w:ascii="宋体" w:hAnsi="宋体" w:eastAsia="宋体" w:cs="宋体"/>
          <w:color w:val="auto"/>
          <w:sz w:val="44"/>
          <w:highlight w:val="none"/>
        </w:rPr>
      </w:pPr>
    </w:p>
    <w:p>
      <w:pPr>
        <w:jc w:val="center"/>
        <w:rPr>
          <w:rFonts w:hint="eastAsia" w:ascii="宋体" w:hAnsi="宋体" w:cs="宋体"/>
          <w:b/>
          <w:color w:val="000000"/>
          <w:sz w:val="44"/>
          <w:szCs w:val="44"/>
          <w:lang w:val="en-US" w:eastAsia="zh-CN"/>
        </w:rPr>
      </w:pPr>
    </w:p>
    <w:p>
      <w:pPr>
        <w:jc w:val="center"/>
        <w:rPr>
          <w:rFonts w:hint="eastAsia" w:ascii="仿宋" w:hAnsi="仿宋" w:eastAsia="仿宋" w:cs="仿宋"/>
          <w:b/>
          <w:color w:val="000000"/>
          <w:sz w:val="44"/>
          <w:szCs w:val="44"/>
          <w:lang w:val="en-US" w:eastAsia="zh-CN"/>
        </w:rPr>
      </w:pPr>
      <w:r>
        <w:rPr>
          <w:rFonts w:hint="eastAsia" w:ascii="仿宋" w:hAnsi="仿宋" w:eastAsia="仿宋" w:cs="仿宋"/>
          <w:b/>
          <w:color w:val="000000"/>
          <w:sz w:val="44"/>
          <w:szCs w:val="44"/>
          <w:lang w:val="en-US" w:eastAsia="zh-CN"/>
        </w:rPr>
        <w:t>海南洋浦陆海国际贸易有限公司砂石临时采购协议</w:t>
      </w:r>
    </w:p>
    <w:p>
      <w:pPr>
        <w:jc w:val="center"/>
        <w:rPr>
          <w:rFonts w:hint="eastAsia" w:ascii="仿宋" w:hAnsi="仿宋" w:eastAsia="仿宋" w:cs="仿宋"/>
          <w:b/>
          <w:color w:val="000000"/>
          <w:sz w:val="44"/>
          <w:szCs w:val="44"/>
          <w:lang w:val="en-US" w:eastAsia="zh-CN"/>
        </w:rPr>
      </w:pPr>
    </w:p>
    <w:p>
      <w:pPr>
        <w:jc w:val="center"/>
        <w:rPr>
          <w:rFonts w:hint="eastAsia" w:ascii="仿宋" w:hAnsi="仿宋" w:eastAsia="仿宋" w:cs="仿宋"/>
          <w:b/>
          <w:color w:val="000000"/>
          <w:sz w:val="44"/>
          <w:szCs w:val="44"/>
          <w:lang w:val="en-US" w:eastAsia="zh-CN"/>
        </w:rPr>
      </w:pPr>
    </w:p>
    <w:p>
      <w:pPr>
        <w:jc w:val="center"/>
        <w:rPr>
          <w:rFonts w:hint="eastAsia" w:ascii="仿宋" w:hAnsi="仿宋" w:eastAsia="仿宋" w:cs="仿宋"/>
          <w:b/>
          <w:color w:val="000000"/>
          <w:sz w:val="28"/>
          <w:szCs w:val="28"/>
          <w:lang w:val="en-US" w:eastAsia="zh-CN"/>
        </w:rPr>
      </w:pPr>
    </w:p>
    <w:p>
      <w:pPr>
        <w:jc w:val="center"/>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合同编号：</w:t>
      </w:r>
    </w:p>
    <w:p>
      <w:pPr>
        <w:jc w:val="center"/>
        <w:rPr>
          <w:rFonts w:hint="eastAsia" w:ascii="仿宋" w:hAnsi="仿宋" w:eastAsia="仿宋" w:cs="仿宋"/>
          <w:color w:val="auto"/>
          <w:sz w:val="44"/>
          <w:highlight w:val="none"/>
          <w:lang w:val="en-US" w:eastAsia="zh-CN"/>
        </w:rPr>
      </w:pPr>
    </w:p>
    <w:p>
      <w:pPr>
        <w:jc w:val="center"/>
        <w:rPr>
          <w:rFonts w:hint="eastAsia" w:ascii="仿宋" w:hAnsi="仿宋" w:eastAsia="仿宋" w:cs="仿宋"/>
          <w:color w:val="auto"/>
          <w:sz w:val="44"/>
          <w:highlight w:val="none"/>
          <w:lang w:val="en-US" w:eastAsia="zh-CN"/>
        </w:rPr>
      </w:pPr>
    </w:p>
    <w:p>
      <w:pPr>
        <w:jc w:val="center"/>
        <w:rPr>
          <w:rFonts w:hint="eastAsia" w:ascii="仿宋" w:hAnsi="仿宋" w:eastAsia="仿宋" w:cs="仿宋"/>
          <w:color w:val="auto"/>
          <w:sz w:val="44"/>
          <w:highlight w:val="none"/>
          <w:lang w:val="en-US" w:eastAsia="zh-CN"/>
        </w:rPr>
      </w:pPr>
    </w:p>
    <w:p>
      <w:pPr>
        <w:jc w:val="center"/>
        <w:rPr>
          <w:rFonts w:hint="eastAsia" w:ascii="仿宋" w:hAnsi="仿宋" w:eastAsia="仿宋" w:cs="仿宋"/>
          <w:color w:val="auto"/>
          <w:sz w:val="44"/>
          <w:highlight w:val="none"/>
          <w:lang w:val="en-US" w:eastAsia="zh-CN"/>
        </w:rPr>
      </w:pPr>
    </w:p>
    <w:p>
      <w:pPr>
        <w:tabs>
          <w:tab w:val="left" w:pos="992"/>
        </w:tabs>
        <w:ind w:firstLine="600" w:firstLineChars="200"/>
        <w:jc w:val="left"/>
        <w:rPr>
          <w:rFonts w:hint="eastAsia" w:ascii="仿宋" w:hAnsi="仿宋" w:eastAsia="仿宋" w:cs="仿宋"/>
          <w:color w:val="auto"/>
          <w:sz w:val="30"/>
          <w:highlight w:val="none"/>
        </w:rPr>
      </w:pPr>
      <w:bookmarkStart w:id="14" w:name="_Toc306782765"/>
      <w:r>
        <w:rPr>
          <w:rFonts w:hint="eastAsia" w:ascii="仿宋" w:hAnsi="仿宋" w:eastAsia="仿宋" w:cs="仿宋"/>
          <w:color w:val="auto"/>
          <w:sz w:val="30"/>
          <w:highlight w:val="none"/>
        </w:rPr>
        <w:t>甲方（采购方）：</w:t>
      </w:r>
      <w:r>
        <w:rPr>
          <w:rFonts w:hint="eastAsia" w:ascii="仿宋" w:hAnsi="仿宋" w:eastAsia="仿宋" w:cs="仿宋"/>
          <w:color w:val="auto"/>
          <w:sz w:val="30"/>
          <w:highlight w:val="none"/>
          <w:u w:val="single"/>
        </w:rPr>
        <w:t>海南洋浦陆海国际贸易有限公司</w:t>
      </w:r>
    </w:p>
    <w:p>
      <w:pPr>
        <w:tabs>
          <w:tab w:val="left" w:pos="992"/>
        </w:tabs>
        <w:ind w:firstLine="600" w:firstLineChars="200"/>
        <w:jc w:val="left"/>
        <w:rPr>
          <w:rFonts w:hint="eastAsia" w:ascii="仿宋" w:hAnsi="仿宋" w:eastAsia="仿宋" w:cs="仿宋"/>
          <w:color w:val="auto"/>
          <w:sz w:val="30"/>
          <w:highlight w:val="none"/>
          <w:u w:val="single"/>
        </w:rPr>
      </w:pPr>
      <w:r>
        <w:rPr>
          <w:rFonts w:hint="eastAsia" w:ascii="仿宋" w:hAnsi="仿宋" w:eastAsia="仿宋" w:cs="仿宋"/>
          <w:color w:val="auto"/>
          <w:sz w:val="30"/>
          <w:highlight w:val="none"/>
        </w:rPr>
        <w:t>乙方（供应商）：</w:t>
      </w:r>
      <w:r>
        <w:rPr>
          <w:rFonts w:hint="eastAsia" w:ascii="仿宋" w:hAnsi="仿宋" w:eastAsia="仿宋" w:cs="仿宋"/>
          <w:color w:val="auto"/>
          <w:sz w:val="30"/>
          <w:highlight w:val="none"/>
          <w:u w:val="single"/>
        </w:rPr>
        <w:t xml:space="preserve">                            </w:t>
      </w:r>
    </w:p>
    <w:p>
      <w:pPr>
        <w:tabs>
          <w:tab w:val="left" w:pos="992"/>
        </w:tabs>
        <w:ind w:left="2096" w:leftChars="284" w:hanging="1500" w:hangingChars="500"/>
        <w:jc w:val="left"/>
        <w:rPr>
          <w:rFonts w:hint="eastAsia" w:ascii="仿宋" w:hAnsi="仿宋" w:eastAsia="仿宋" w:cs="仿宋"/>
          <w:color w:val="auto"/>
          <w:sz w:val="30"/>
          <w:highlight w:val="none"/>
          <w:u w:val="single"/>
        </w:rPr>
      </w:pPr>
      <w:r>
        <w:rPr>
          <w:rFonts w:hint="eastAsia" w:ascii="仿宋" w:hAnsi="仿宋" w:eastAsia="仿宋" w:cs="仿宋"/>
          <w:color w:val="auto"/>
          <w:sz w:val="30"/>
          <w:highlight w:val="none"/>
        </w:rPr>
        <w:t>签约地点：</w:t>
      </w:r>
      <w:r>
        <w:rPr>
          <w:rFonts w:hint="eastAsia" w:ascii="仿宋" w:hAnsi="仿宋" w:eastAsia="仿宋" w:cs="仿宋"/>
          <w:color w:val="auto"/>
          <w:sz w:val="30"/>
          <w:highlight w:val="none"/>
          <w:u w:val="single"/>
        </w:rPr>
        <w:t>海南省儋州市洋浦经济开发区洋浦国际商业大厦</w:t>
      </w:r>
    </w:p>
    <w:p>
      <w:pPr>
        <w:tabs>
          <w:tab w:val="left" w:pos="992"/>
        </w:tabs>
        <w:ind w:firstLine="600" w:firstLineChars="200"/>
        <w:jc w:val="left"/>
        <w:rPr>
          <w:rFonts w:hint="eastAsia" w:ascii="仿宋" w:hAnsi="仿宋" w:eastAsia="仿宋" w:cs="仿宋"/>
          <w:color w:val="auto"/>
          <w:sz w:val="24"/>
          <w:highlight w:val="none"/>
        </w:rPr>
      </w:pPr>
      <w:r>
        <w:rPr>
          <w:rFonts w:hint="eastAsia" w:ascii="仿宋" w:hAnsi="仿宋" w:eastAsia="仿宋" w:cs="仿宋"/>
          <w:color w:val="auto"/>
          <w:sz w:val="30"/>
          <w:highlight w:val="none"/>
          <w:u w:val="none"/>
        </w:rPr>
        <w:t>签约时间：</w:t>
      </w:r>
      <w:r>
        <w:rPr>
          <w:rFonts w:hint="eastAsia" w:ascii="仿宋" w:hAnsi="仿宋" w:eastAsia="仿宋" w:cs="仿宋"/>
          <w:color w:val="auto"/>
          <w:sz w:val="30"/>
          <w:highlight w:val="none"/>
          <w:u w:val="single"/>
        </w:rPr>
        <w:t>202</w:t>
      </w:r>
      <w:r>
        <w:rPr>
          <w:rFonts w:hint="eastAsia" w:ascii="仿宋" w:hAnsi="仿宋" w:eastAsia="仿宋" w:cs="仿宋"/>
          <w:color w:val="auto"/>
          <w:sz w:val="30"/>
          <w:highlight w:val="none"/>
          <w:u w:val="single"/>
          <w:lang w:val="en-US" w:eastAsia="zh-CN"/>
        </w:rPr>
        <w:t>4</w:t>
      </w:r>
      <w:r>
        <w:rPr>
          <w:rFonts w:hint="eastAsia" w:ascii="仿宋" w:hAnsi="仿宋" w:eastAsia="仿宋" w:cs="仿宋"/>
          <w:color w:val="auto"/>
          <w:sz w:val="30"/>
          <w:highlight w:val="none"/>
          <w:u w:val="single"/>
        </w:rPr>
        <w:t>年   月   日</w:t>
      </w:r>
      <w:bookmarkEnd w:id="14"/>
    </w:p>
    <w:p>
      <w:pPr>
        <w:jc w:val="center"/>
        <w:rPr>
          <w:rFonts w:hint="eastAsia" w:ascii="宋体" w:hAnsi="宋体" w:eastAsia="宋体" w:cs="宋体"/>
          <w:color w:val="auto"/>
          <w:sz w:val="44"/>
          <w:highlight w:val="none"/>
          <w:lang w:val="en-US" w:eastAsia="zh-CN"/>
        </w:rPr>
      </w:pPr>
    </w:p>
    <w:p>
      <w:pPr>
        <w:jc w:val="center"/>
        <w:rPr>
          <w:rFonts w:hint="eastAsia" w:ascii="宋体" w:hAnsi="宋体" w:eastAsia="宋体" w:cs="宋体"/>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lang w:val="zh-CN" w:bidi="zh-CN"/>
        </w:rPr>
      </w:pPr>
      <w:r>
        <w:rPr>
          <w:rFonts w:hint="eastAsia" w:ascii="仿宋" w:hAnsi="仿宋" w:eastAsia="仿宋" w:cs="仿宋"/>
          <w:color w:val="auto"/>
          <w:sz w:val="24"/>
          <w:szCs w:val="24"/>
          <w:highlight w:val="none"/>
          <w:lang w:val="zh-CN" w:bidi="zh-CN"/>
        </w:rPr>
        <w:t>甲  方：</w:t>
      </w:r>
      <w:r>
        <w:rPr>
          <w:rFonts w:hint="eastAsia" w:ascii="仿宋" w:hAnsi="仿宋" w:eastAsia="仿宋" w:cs="仿宋"/>
          <w:color w:val="auto"/>
          <w:sz w:val="24"/>
          <w:szCs w:val="24"/>
          <w:highlight w:val="none"/>
          <w:u w:val="single"/>
          <w:lang w:val="zh-CN" w:bidi="zh-CN"/>
        </w:rPr>
        <w:t>海南洋浦陆海国际贸易有限公司</w:t>
      </w:r>
      <w:r>
        <w:rPr>
          <w:rFonts w:hint="eastAsia" w:ascii="仿宋" w:hAnsi="仿宋" w:eastAsia="仿宋" w:cs="仿宋"/>
          <w:color w:val="auto"/>
          <w:sz w:val="24"/>
          <w:szCs w:val="24"/>
          <w:highlight w:val="none"/>
          <w:lang w:val="zh-CN" w:bidi="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u w:val="single"/>
          <w:lang w:bidi="zh-CN"/>
        </w:rPr>
      </w:pPr>
      <w:r>
        <w:rPr>
          <w:rFonts w:hint="eastAsia" w:ascii="仿宋" w:hAnsi="仿宋" w:eastAsia="仿宋" w:cs="仿宋"/>
          <w:color w:val="auto"/>
          <w:sz w:val="24"/>
          <w:szCs w:val="24"/>
          <w:highlight w:val="none"/>
          <w:lang w:val="zh-CN" w:bidi="zh-CN"/>
        </w:rPr>
        <w:t>住  所：</w:t>
      </w:r>
      <w:r>
        <w:rPr>
          <w:rFonts w:hint="eastAsia" w:ascii="仿宋" w:hAnsi="仿宋" w:eastAsia="仿宋" w:cs="仿宋"/>
          <w:color w:val="auto"/>
          <w:sz w:val="24"/>
          <w:szCs w:val="24"/>
          <w:highlight w:val="none"/>
          <w:u w:val="single"/>
          <w:lang w:bidi="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法定代表人：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lang w:val="zh-CN" w:bidi="zh-CN"/>
        </w:rPr>
      </w:pPr>
      <w:r>
        <w:rPr>
          <w:rFonts w:hint="eastAsia" w:ascii="仿宋" w:hAnsi="仿宋" w:eastAsia="仿宋" w:cs="仿宋"/>
          <w:snapToGrid w:val="0"/>
          <w:color w:val="auto"/>
          <w:sz w:val="24"/>
          <w:szCs w:val="24"/>
          <w:highlight w:val="none"/>
          <w:lang w:val="zh-CN" w:bidi="zh-CN"/>
        </w:rPr>
        <w:t>乙  方</w:t>
      </w:r>
      <w:r>
        <w:rPr>
          <w:rFonts w:hint="eastAsia" w:ascii="仿宋" w:hAnsi="仿宋" w:eastAsia="仿宋" w:cs="仿宋"/>
          <w:color w:val="auto"/>
          <w:sz w:val="24"/>
          <w:szCs w:val="24"/>
          <w:highlight w:val="none"/>
          <w:lang w:val="zh-CN" w:bidi="zh-CN"/>
        </w:rPr>
        <w:t>：</w:t>
      </w:r>
      <w:r>
        <w:rPr>
          <w:rFonts w:hint="eastAsia" w:ascii="仿宋" w:hAnsi="仿宋" w:eastAsia="仿宋" w:cs="仿宋"/>
          <w:color w:val="auto"/>
          <w:sz w:val="24"/>
          <w:szCs w:val="24"/>
          <w:highlight w:val="none"/>
          <w:lang w:bidi="zh-CN"/>
        </w:rPr>
        <w:t xml:space="preserve"> </w:t>
      </w:r>
      <w:r>
        <w:rPr>
          <w:rFonts w:hint="eastAsia" w:ascii="仿宋" w:hAnsi="仿宋" w:eastAsia="仿宋" w:cs="仿宋"/>
          <w:color w:val="auto"/>
          <w:sz w:val="24"/>
          <w:szCs w:val="24"/>
          <w:highlight w:val="none"/>
          <w:u w:val="single"/>
          <w:lang w:bidi="zh-CN"/>
        </w:rPr>
        <w:t xml:space="preserve">            </w:t>
      </w:r>
      <w:r>
        <w:rPr>
          <w:rFonts w:hint="eastAsia" w:ascii="仿宋" w:hAnsi="仿宋" w:eastAsia="仿宋" w:cs="仿宋"/>
          <w:color w:val="auto"/>
          <w:sz w:val="24"/>
          <w:szCs w:val="24"/>
          <w:highlight w:val="none"/>
          <w:lang w:val="zh-CN" w:bidi="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lang w:bidi="zh-CN"/>
        </w:rPr>
      </w:pPr>
      <w:r>
        <w:rPr>
          <w:rFonts w:hint="eastAsia" w:ascii="仿宋" w:hAnsi="仿宋" w:eastAsia="仿宋" w:cs="仿宋"/>
          <w:color w:val="auto"/>
          <w:sz w:val="24"/>
          <w:szCs w:val="24"/>
          <w:highlight w:val="none"/>
          <w:lang w:val="zh-CN" w:bidi="zh-CN"/>
        </w:rPr>
        <w:t>住  所：</w:t>
      </w:r>
      <w:r>
        <w:rPr>
          <w:rFonts w:hint="eastAsia" w:ascii="仿宋" w:hAnsi="仿宋" w:eastAsia="仿宋" w:cs="仿宋"/>
          <w:color w:val="auto"/>
          <w:sz w:val="24"/>
          <w:szCs w:val="24"/>
          <w:highlight w:val="none"/>
          <w:u w:val="single"/>
          <w:lang w:bidi="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法定代表人：         </w:t>
      </w:r>
    </w:p>
    <w:p>
      <w:pPr>
        <w:keepNext w:val="0"/>
        <w:keepLines w:val="0"/>
        <w:pageBreakBefore w:val="0"/>
        <w:widowControl w:val="0"/>
        <w:kinsoku/>
        <w:wordWrap/>
        <w:overflowPunct/>
        <w:topLinePunct w:val="0"/>
        <w:autoSpaceDE/>
        <w:autoSpaceDN/>
        <w:bidi w:val="0"/>
        <w:adjustRightInd/>
        <w:snapToGrid/>
        <w:spacing w:line="480" w:lineRule="exact"/>
        <w:ind w:left="36" w:firstLine="720" w:firstLineChars="300"/>
        <w:textAlignment w:val="auto"/>
        <w:rPr>
          <w:rFonts w:hint="eastAsia" w:ascii="仿宋" w:hAnsi="仿宋" w:eastAsia="仿宋" w:cs="仿宋"/>
          <w:color w:val="auto"/>
          <w:sz w:val="24"/>
          <w:szCs w:val="24"/>
          <w:highlight w:val="none"/>
          <w:lang w:val="zh-CN" w:bidi="zh-CN"/>
        </w:rPr>
      </w:pPr>
      <w:r>
        <w:rPr>
          <w:rFonts w:hint="eastAsia" w:ascii="仿宋" w:hAnsi="仿宋" w:eastAsia="仿宋" w:cs="仿宋"/>
          <w:color w:val="auto"/>
          <w:sz w:val="24"/>
          <w:szCs w:val="24"/>
          <w:highlight w:val="none"/>
          <w:lang w:val="zh-CN" w:bidi="zh-CN"/>
        </w:rPr>
        <w:t>根据《中华人民共和国民法典》及相关法律法规，为明确甲方与乙方的权利义务，经双方协商一致，</w:t>
      </w:r>
      <w:r>
        <w:rPr>
          <w:rFonts w:hint="eastAsia" w:ascii="仿宋" w:hAnsi="仿宋" w:eastAsia="仿宋" w:cs="仿宋"/>
          <w:color w:val="auto"/>
          <w:sz w:val="24"/>
          <w:szCs w:val="24"/>
          <w:highlight w:val="none"/>
          <w:lang w:bidi="zh-CN"/>
        </w:rPr>
        <w:t>甲方</w:t>
      </w:r>
      <w:r>
        <w:rPr>
          <w:rFonts w:hint="eastAsia" w:ascii="仿宋" w:hAnsi="仿宋" w:eastAsia="仿宋" w:cs="仿宋"/>
          <w:color w:val="auto"/>
          <w:sz w:val="24"/>
          <w:szCs w:val="24"/>
          <w:highlight w:val="none"/>
          <w:lang w:val="zh-CN" w:bidi="zh-CN"/>
        </w:rPr>
        <w:t>就</w:t>
      </w:r>
      <w:r>
        <w:rPr>
          <w:rFonts w:hint="eastAsia" w:ascii="仿宋" w:hAnsi="仿宋" w:eastAsia="仿宋" w:cs="仿宋"/>
          <w:color w:val="auto"/>
          <w:sz w:val="24"/>
          <w:szCs w:val="24"/>
          <w:highlight w:val="none"/>
          <w:lang w:val="en-US" w:bidi="zh-CN"/>
        </w:rPr>
        <w:t>向乙方采购</w:t>
      </w:r>
      <w:r>
        <w:rPr>
          <w:rFonts w:hint="eastAsia" w:ascii="仿宋" w:hAnsi="仿宋" w:eastAsia="仿宋" w:cs="仿宋"/>
          <w:color w:val="auto"/>
          <w:sz w:val="24"/>
          <w:szCs w:val="24"/>
          <w:highlight w:val="none"/>
          <w:u w:val="single"/>
          <w:lang w:val="en-US" w:bidi="zh-CN"/>
        </w:rPr>
        <w:t>砂石</w:t>
      </w:r>
      <w:r>
        <w:rPr>
          <w:rFonts w:hint="eastAsia" w:ascii="仿宋" w:hAnsi="仿宋" w:eastAsia="仿宋" w:cs="仿宋"/>
          <w:color w:val="auto"/>
          <w:sz w:val="24"/>
          <w:szCs w:val="24"/>
          <w:highlight w:val="none"/>
          <w:lang w:val="zh-CN" w:bidi="zh-CN"/>
        </w:rPr>
        <w:t>事宜，签订本合同，双方共同遵守。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rPr>
          <w:rFonts w:hint="eastAsia" w:ascii="仿宋" w:hAnsi="仿宋" w:eastAsia="仿宋" w:cs="仿宋"/>
          <w:b/>
          <w:bCs/>
          <w:color w:val="auto"/>
          <w:sz w:val="24"/>
          <w:szCs w:val="24"/>
          <w:highlight w:val="none"/>
          <w:lang w:val="zh-CN" w:bidi="zh-CN"/>
        </w:rPr>
      </w:pPr>
      <w:r>
        <w:rPr>
          <w:rFonts w:hint="eastAsia" w:ascii="仿宋" w:hAnsi="仿宋" w:eastAsia="仿宋" w:cs="仿宋"/>
          <w:b/>
          <w:bCs/>
          <w:color w:val="auto"/>
          <w:sz w:val="24"/>
          <w:szCs w:val="24"/>
          <w:highlight w:val="none"/>
          <w:lang w:val="zh-CN" w:bidi="zh-CN"/>
        </w:rPr>
        <w:t>1  货物及数量</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仿宋" w:hAnsi="仿宋" w:eastAsia="仿宋" w:cs="仿宋"/>
          <w:color w:val="auto"/>
          <w:sz w:val="24"/>
          <w:szCs w:val="24"/>
          <w:highlight w:val="none"/>
          <w:lang w:val="zh-CN" w:bidi="zh-CN"/>
        </w:rPr>
      </w:pPr>
      <w:r>
        <w:rPr>
          <w:rFonts w:hint="eastAsia" w:ascii="仿宋" w:hAnsi="仿宋" w:eastAsia="仿宋" w:cs="仿宋"/>
          <w:color w:val="auto"/>
          <w:sz w:val="24"/>
          <w:szCs w:val="24"/>
          <w:highlight w:val="none"/>
          <w:lang w:val="zh-CN" w:bidi="zh-CN"/>
        </w:rPr>
        <w:t>1.1货物的名称、数量、规格等详见下表。</w:t>
      </w:r>
    </w:p>
    <w:tbl>
      <w:tblPr>
        <w:tblStyle w:val="17"/>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990"/>
        <w:gridCol w:w="1428"/>
        <w:gridCol w:w="913"/>
        <w:gridCol w:w="636"/>
        <w:gridCol w:w="1157"/>
        <w:gridCol w:w="1296"/>
        <w:gridCol w:w="121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6"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990"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区域</w:t>
            </w:r>
          </w:p>
        </w:tc>
        <w:tc>
          <w:tcPr>
            <w:tcW w:w="1428"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名称</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规格型号</w:t>
            </w:r>
          </w:p>
        </w:tc>
        <w:tc>
          <w:tcPr>
            <w:tcW w:w="636" w:type="dxa"/>
            <w:noWrap w:val="0"/>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单位</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不含税单价</w:t>
            </w: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税费</w:t>
            </w:r>
          </w:p>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（税率13%）</w:t>
            </w: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含税单价</w:t>
            </w:r>
          </w:p>
        </w:tc>
        <w:tc>
          <w:tcPr>
            <w:tcW w:w="708"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6" w:type="dxa"/>
            <w:vMerge w:val="restart"/>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990" w:type="dxa"/>
            <w:vMerge w:val="restart"/>
            <w:noWrap/>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洋浦区域</w:t>
            </w:r>
          </w:p>
        </w:tc>
        <w:tc>
          <w:tcPr>
            <w:tcW w:w="1428" w:type="dxa"/>
            <w:noWrap/>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机制砂</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636" w:type="dxa"/>
            <w:noWrap w:val="0"/>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708"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6" w:type="dxa"/>
            <w:vMerge w:val="continue"/>
            <w:noWrap/>
            <w:vAlign w:val="center"/>
          </w:tcPr>
          <w:p>
            <w:pPr>
              <w:widowControl/>
              <w:spacing w:line="0" w:lineRule="atLeast"/>
              <w:jc w:val="center"/>
              <w:rPr>
                <w:rFonts w:hint="eastAsia" w:ascii="仿宋" w:hAnsi="仿宋" w:eastAsia="仿宋" w:cs="仿宋"/>
                <w:color w:val="000000"/>
                <w:kern w:val="0"/>
                <w:sz w:val="21"/>
                <w:szCs w:val="21"/>
              </w:rPr>
            </w:pPr>
          </w:p>
        </w:tc>
        <w:tc>
          <w:tcPr>
            <w:tcW w:w="990" w:type="dxa"/>
            <w:vMerge w:val="continue"/>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1428" w:type="dxa"/>
            <w:noWrap/>
            <w:vAlign w:val="center"/>
          </w:tcPr>
          <w:p>
            <w:pPr>
              <w:widowControl/>
              <w:spacing w:line="0" w:lineRule="atLeast"/>
              <w:jc w:val="center"/>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级配碎石</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636" w:type="dxa"/>
            <w:noWrap w:val="0"/>
            <w:vAlign w:val="center"/>
          </w:tcPr>
          <w:p>
            <w:pPr>
              <w:widowControl/>
              <w:spacing w:line="0" w:lineRule="atLeast"/>
              <w:jc w:val="center"/>
              <w:rPr>
                <w:rFonts w:hint="eastAsia" w:ascii="仿宋" w:hAnsi="仿宋" w:eastAsia="仿宋" w:cs="仿宋"/>
                <w:color w:val="000000"/>
                <w:kern w:val="0"/>
                <w:sz w:val="21"/>
                <w:szCs w:val="21"/>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708"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6" w:type="dxa"/>
            <w:vMerge w:val="continue"/>
            <w:noWrap/>
            <w:vAlign w:val="center"/>
          </w:tcPr>
          <w:p>
            <w:pPr>
              <w:widowControl/>
              <w:spacing w:line="0" w:lineRule="atLeast"/>
              <w:jc w:val="center"/>
              <w:rPr>
                <w:rFonts w:hint="eastAsia" w:ascii="仿宋" w:hAnsi="仿宋" w:eastAsia="仿宋" w:cs="仿宋"/>
                <w:color w:val="000000"/>
                <w:kern w:val="0"/>
                <w:sz w:val="21"/>
                <w:szCs w:val="21"/>
              </w:rPr>
            </w:pPr>
          </w:p>
        </w:tc>
        <w:tc>
          <w:tcPr>
            <w:tcW w:w="990" w:type="dxa"/>
            <w:vMerge w:val="continue"/>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1428"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未筛分碎石</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636" w:type="dxa"/>
            <w:noWrap w:val="0"/>
            <w:vAlign w:val="center"/>
          </w:tcPr>
          <w:p>
            <w:pPr>
              <w:widowControl/>
              <w:spacing w:line="0" w:lineRule="atLeast"/>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708" w:type="dxa"/>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6" w:type="dxa"/>
            <w:vMerge w:val="restart"/>
            <w:noWrap/>
            <w:vAlign w:val="center"/>
          </w:tcPr>
          <w:p>
            <w:pPr>
              <w:widowControl/>
              <w:spacing w:line="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90" w:type="dxa"/>
            <w:vMerge w:val="restart"/>
            <w:noWrap/>
            <w:vAlign w:val="center"/>
          </w:tcPr>
          <w:p>
            <w:pPr>
              <w:widowControl/>
              <w:spacing w:line="0"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白马井区域</w:t>
            </w:r>
          </w:p>
        </w:tc>
        <w:tc>
          <w:tcPr>
            <w:tcW w:w="1428" w:type="dxa"/>
            <w:noWrap/>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机制砂</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636"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708" w:type="dxa"/>
            <w:noWrap/>
            <w:vAlign w:val="center"/>
          </w:tcPr>
          <w:p>
            <w:pPr>
              <w:widowControl/>
              <w:spacing w:line="0" w:lineRule="atLeast"/>
              <w:jc w:val="center"/>
              <w:rPr>
                <w:rFonts w:hint="eastAsia" w:ascii="仿宋" w:hAnsi="仿宋" w:eastAsia="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6" w:type="dxa"/>
            <w:vMerge w:val="continue"/>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990" w:type="dxa"/>
            <w:vMerge w:val="continue"/>
            <w:noWrap/>
            <w:vAlign w:val="center"/>
          </w:tcPr>
          <w:p>
            <w:pPr>
              <w:widowControl/>
              <w:spacing w:line="0" w:lineRule="atLeast"/>
              <w:jc w:val="center"/>
              <w:rPr>
                <w:rFonts w:hint="eastAsia" w:ascii="仿宋" w:hAnsi="仿宋" w:eastAsia="仿宋" w:cs="仿宋"/>
                <w:color w:val="000000"/>
                <w:kern w:val="0"/>
                <w:sz w:val="21"/>
                <w:szCs w:val="21"/>
              </w:rPr>
            </w:pPr>
          </w:p>
        </w:tc>
        <w:tc>
          <w:tcPr>
            <w:tcW w:w="1428" w:type="dxa"/>
            <w:noWrap/>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级配碎石</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36"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708" w:type="dxa"/>
            <w:noWrap/>
            <w:vAlign w:val="center"/>
          </w:tcPr>
          <w:p>
            <w:pPr>
              <w:widowControl/>
              <w:spacing w:line="0" w:lineRule="atLeast"/>
              <w:jc w:val="center"/>
              <w:rPr>
                <w:rFonts w:hint="eastAsia" w:ascii="仿宋" w:hAnsi="仿宋" w:eastAsia="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6" w:type="dxa"/>
            <w:vMerge w:val="continue"/>
            <w:noWrap/>
            <w:vAlign w:val="center"/>
          </w:tcPr>
          <w:p>
            <w:pPr>
              <w:widowControl/>
              <w:spacing w:line="0" w:lineRule="atLeast"/>
              <w:jc w:val="center"/>
              <w:rPr>
                <w:rFonts w:hint="eastAsia" w:ascii="仿宋" w:hAnsi="仿宋" w:eastAsia="仿宋" w:cs="仿宋"/>
                <w:color w:val="000000"/>
                <w:kern w:val="0"/>
                <w:sz w:val="21"/>
                <w:szCs w:val="21"/>
                <w:lang w:val="en-US" w:eastAsia="zh-CN"/>
              </w:rPr>
            </w:pPr>
          </w:p>
        </w:tc>
        <w:tc>
          <w:tcPr>
            <w:tcW w:w="990" w:type="dxa"/>
            <w:vMerge w:val="continue"/>
            <w:noWrap/>
            <w:vAlign w:val="center"/>
          </w:tcPr>
          <w:p>
            <w:pPr>
              <w:widowControl/>
              <w:spacing w:line="0" w:lineRule="atLeast"/>
              <w:jc w:val="center"/>
              <w:rPr>
                <w:rFonts w:hint="eastAsia" w:ascii="仿宋" w:hAnsi="仿宋" w:eastAsia="仿宋" w:cs="仿宋"/>
                <w:color w:val="000000"/>
                <w:kern w:val="0"/>
                <w:sz w:val="21"/>
                <w:szCs w:val="21"/>
              </w:rPr>
            </w:pPr>
          </w:p>
        </w:tc>
        <w:tc>
          <w:tcPr>
            <w:tcW w:w="1428" w:type="dxa"/>
            <w:noWrap/>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未筛分碎石</w:t>
            </w:r>
          </w:p>
        </w:tc>
        <w:tc>
          <w:tcPr>
            <w:tcW w:w="913" w:type="dxa"/>
            <w:noWrap w:val="0"/>
            <w:vAlign w:val="center"/>
          </w:tcPr>
          <w:p>
            <w:pPr>
              <w:widowControl/>
              <w:spacing w:line="0"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36" w:type="dxa"/>
            <w:noWrap w:val="0"/>
            <w:vAlign w:val="center"/>
          </w:tcPr>
          <w:p>
            <w:pPr>
              <w:widowControl/>
              <w:spacing w:line="0" w:lineRule="atLeas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m³</w:t>
            </w:r>
          </w:p>
        </w:tc>
        <w:tc>
          <w:tcPr>
            <w:tcW w:w="1157"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96"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1212" w:type="dxa"/>
            <w:noWrap/>
            <w:vAlign w:val="center"/>
          </w:tcPr>
          <w:p>
            <w:pPr>
              <w:widowControl/>
              <w:spacing w:line="0" w:lineRule="atLeast"/>
              <w:jc w:val="center"/>
              <w:rPr>
                <w:rFonts w:hint="eastAsia" w:ascii="仿宋" w:hAnsi="仿宋" w:eastAsia="仿宋" w:cs="仿宋"/>
                <w:color w:val="000000"/>
                <w:kern w:val="0"/>
                <w:sz w:val="21"/>
                <w:szCs w:val="21"/>
              </w:rPr>
            </w:pPr>
          </w:p>
        </w:tc>
        <w:tc>
          <w:tcPr>
            <w:tcW w:w="708" w:type="dxa"/>
            <w:noWrap/>
            <w:vAlign w:val="center"/>
          </w:tcPr>
          <w:p>
            <w:pPr>
              <w:widowControl/>
              <w:spacing w:line="0" w:lineRule="atLeast"/>
              <w:jc w:val="center"/>
              <w:rPr>
                <w:rFonts w:hint="eastAsia" w:ascii="仿宋" w:hAnsi="仿宋" w:eastAsia="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736" w:type="dxa"/>
            <w:gridSpan w:val="9"/>
            <w:noWrap/>
            <w:vAlign w:val="center"/>
          </w:tcPr>
          <w:p>
            <w:pPr>
              <w:widowControl/>
              <w:spacing w:line="0"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注：1、具体以到场实际合格物资数量为准办理结算；卖方不得以本表价款与买方发生任何经济与法律纠纷，否则视为卖方违约。</w:t>
            </w:r>
          </w:p>
        </w:tc>
      </w:tr>
    </w:tbl>
    <w:p>
      <w:pPr>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供货数量、时间和地点以甲方书面计划为准，结算数量为甲方实收合格数量，甲方有权对合同中的数量和交货时间做调整，乙方</w:t>
      </w:r>
      <w:r>
        <w:rPr>
          <w:rFonts w:hint="eastAsia" w:ascii="仿宋" w:hAnsi="仿宋" w:eastAsia="仿宋" w:cs="仿宋"/>
          <w:color w:val="000000" w:themeColor="text1"/>
          <w:sz w:val="24"/>
          <w:szCs w:val="24"/>
          <w14:textFill>
            <w14:solidFill>
              <w14:schemeClr w14:val="tx1"/>
            </w14:solidFill>
          </w14:textFill>
        </w:rPr>
        <w:t>应予无条件配合。因货物数量调整</w:t>
      </w:r>
      <w:r>
        <w:rPr>
          <w:rFonts w:hint="eastAsia" w:ascii="仿宋" w:hAnsi="仿宋" w:eastAsia="仿宋" w:cs="仿宋"/>
          <w:color w:val="auto"/>
          <w:sz w:val="24"/>
          <w:highlight w:val="none"/>
        </w:rPr>
        <w:t>，当乙方</w:t>
      </w:r>
      <w:r>
        <w:rPr>
          <w:rFonts w:hint="eastAsia" w:ascii="仿宋" w:hAnsi="仿宋" w:eastAsia="仿宋" w:cs="仿宋"/>
          <w:color w:val="auto"/>
          <w:sz w:val="24"/>
          <w:highlight w:val="none"/>
          <w:lang w:val="en-US" w:eastAsia="zh-CN"/>
        </w:rPr>
        <w:t>实际</w:t>
      </w:r>
      <w:r>
        <w:rPr>
          <w:rFonts w:hint="eastAsia" w:ascii="仿宋" w:hAnsi="仿宋" w:eastAsia="仿宋" w:cs="仿宋"/>
          <w:color w:val="auto"/>
          <w:sz w:val="24"/>
          <w:highlight w:val="none"/>
        </w:rPr>
        <w:t>供货量</w:t>
      </w:r>
      <w:r>
        <w:rPr>
          <w:rFonts w:hint="eastAsia" w:ascii="仿宋" w:hAnsi="仿宋" w:eastAsia="仿宋" w:cs="仿宋"/>
          <w:color w:val="auto"/>
          <w:sz w:val="24"/>
          <w:highlight w:val="none"/>
          <w:lang w:val="en-US" w:eastAsia="zh-CN"/>
        </w:rPr>
        <w:t>未达</w:t>
      </w:r>
      <w:r>
        <w:rPr>
          <w:rFonts w:hint="eastAsia" w:ascii="仿宋" w:hAnsi="仿宋" w:eastAsia="仿宋" w:cs="仿宋"/>
          <w:color w:val="auto"/>
          <w:sz w:val="24"/>
          <w:highlight w:val="none"/>
        </w:rPr>
        <w:t>以上暂估数量时，乙方不得以供货数量不足作为索赔的理由。</w:t>
      </w:r>
    </w:p>
    <w:p>
      <w:pPr>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rPr>
        <w:t>合同结算单价、合同暂估总金额以及最终结算总价都已包括货物价款、供应商出售该物资应缴纳税金及一切税费、装车费、包装费、保险费、运输费，以及其他运抵至甲方指定交货地点的一切费用；包括售后服务以及市场价格涨幅等的各类风险费用；以及其他所有相关服务费用。</w:t>
      </w:r>
    </w:p>
    <w:p>
      <w:pPr>
        <w:pStyle w:val="4"/>
        <w:pageBreakBefore w:val="0"/>
        <w:widowControl w:val="0"/>
        <w:numPr>
          <w:ilvl w:val="2"/>
          <w:numId w:val="0"/>
        </w:numPr>
        <w:tabs>
          <w:tab w:val="left" w:pos="992"/>
        </w:tabs>
        <w:kinsoku/>
        <w:wordWrap/>
        <w:overflowPunct/>
        <w:topLinePunct w:val="0"/>
        <w:autoSpaceDE/>
        <w:autoSpaceDN/>
        <w:bidi w:val="0"/>
        <w:adjustRightInd/>
        <w:snapToGrid/>
        <w:spacing w:before="0" w:after="0" w:line="520" w:lineRule="exact"/>
        <w:ind w:firstLine="480" w:firstLineChars="200"/>
        <w:textAlignment w:val="auto"/>
        <w:rPr>
          <w:color w:val="auto"/>
          <w:highlight w:val="none"/>
        </w:rPr>
      </w:pPr>
      <w:r>
        <w:rPr>
          <w:rFonts w:hint="eastAsia" w:ascii="仿宋" w:hAnsi="仿宋" w:eastAsia="仿宋" w:cs="仿宋"/>
          <w:b w:val="0"/>
          <w:bCs w:val="0"/>
          <w:color w:val="auto"/>
          <w:sz w:val="24"/>
          <w:szCs w:val="24"/>
          <w:highlight w:val="none"/>
        </w:rPr>
        <w:t>1.4</w:t>
      </w:r>
      <w:r>
        <w:rPr>
          <w:rFonts w:hint="eastAsia" w:eastAsia="仿宋" w:cs="仿宋"/>
          <w:b w:val="0"/>
          <w:bCs w:val="0"/>
          <w:color w:val="auto"/>
          <w:sz w:val="24"/>
          <w:szCs w:val="24"/>
          <w:highlight w:val="none"/>
          <w:lang w:val="en-US" w:eastAsia="zh-CN"/>
        </w:rPr>
        <w:t>乙方供应货物的质保期应在履约质量保证期内</w:t>
      </w:r>
      <w:r>
        <w:rPr>
          <w:rFonts w:hint="eastAsia" w:ascii="仿宋" w:hAnsi="仿宋" w:eastAsia="仿宋" w:cs="仿宋"/>
          <w:b w:val="0"/>
          <w:bCs w:val="0"/>
          <w:color w:val="auto"/>
          <w:kern w:val="0"/>
          <w:sz w:val="24"/>
          <w:szCs w:val="2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zh-CN"/>
        </w:rPr>
        <w:t>2  技术质量要求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2.1相关标准规范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机制砂要求参考《建筑地基基础设计规范》（GB50007-2011），粒径大于2mm的颗粒含量不超过全重50%，粒径大于0.5mm的颗粒含量超过全重50%，粒径小于0.5mm的颗粒含量介于全重25%-35%之间，不得使用淤泥、耕土、冻土、膨胀土以及有机质含量大于5％的土料，粒径最大不超过5mm。 如国家标准有变更均按最新标准执行。未筛分碎石和级配碎石符合JTG/T F20-2015《公路路面基层施工技术细则》。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ascii="仿宋" w:hAnsi="仿宋" w:eastAsia="仿宋" w:cs="仿宋"/>
          <w:color w:val="auto"/>
          <w:sz w:val="24"/>
          <w:highlight w:val="none"/>
        </w:rPr>
        <w:t>材质证明书：根据甲方要求提供相关证明资料，不限于产品说明书。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服务质量：产品质量应严格符合工程项目的设计、招标文件及有关工程施工及验收规范的要求，同时产品质量及服务必须满足甲方为保证工程质量而对质量、服务等方面提出的各种进一步要求。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color w:val="auto"/>
          <w:highlight w:val="none"/>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质量保证期：</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从本工程竣工验收完毕之日起算）。质量保证期内乙方免费提供质量缺陷货物的维修、更换等服务。乙方必须在接获甲方提出书面要求后3日内给予书面答复。如有必要，乙方在1日内应指派人员到现场，将有质量缺陷的货物进行维修、更换，一切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质保金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2.6</w:t>
      </w:r>
      <w:r>
        <w:rPr>
          <w:rFonts w:ascii="仿宋" w:hAnsi="仿宋" w:eastAsia="仿宋" w:cs="仿宋"/>
          <w:color w:val="auto"/>
          <w:sz w:val="24"/>
          <w:highlight w:val="none"/>
        </w:rPr>
        <w:t>其他相关要求：正式送货之前，如需</w:t>
      </w:r>
      <w:r>
        <w:rPr>
          <w:rFonts w:hint="eastAsia" w:ascii="仿宋" w:hAnsi="仿宋" w:eastAsia="仿宋" w:cs="仿宋"/>
          <w:color w:val="auto"/>
          <w:sz w:val="24"/>
          <w:highlight w:val="none"/>
        </w:rPr>
        <w:t>乙</w:t>
      </w:r>
      <w:r>
        <w:rPr>
          <w:rFonts w:ascii="仿宋" w:hAnsi="仿宋" w:eastAsia="仿宋" w:cs="仿宋"/>
          <w:color w:val="auto"/>
          <w:sz w:val="24"/>
          <w:highlight w:val="none"/>
        </w:rPr>
        <w:t>方提供样品，</w:t>
      </w:r>
      <w:r>
        <w:rPr>
          <w:rFonts w:hint="eastAsia" w:ascii="仿宋" w:hAnsi="仿宋" w:eastAsia="仿宋" w:cs="仿宋"/>
          <w:color w:val="auto"/>
          <w:sz w:val="24"/>
          <w:highlight w:val="none"/>
        </w:rPr>
        <w:t>甲</w:t>
      </w:r>
      <w:r>
        <w:rPr>
          <w:rFonts w:ascii="仿宋" w:hAnsi="仿宋" w:eastAsia="仿宋" w:cs="仿宋"/>
          <w:color w:val="auto"/>
          <w:sz w:val="24"/>
          <w:highlight w:val="none"/>
        </w:rPr>
        <w:t>方应提前通知</w:t>
      </w:r>
      <w:r>
        <w:rPr>
          <w:rFonts w:hint="eastAsia" w:ascii="仿宋" w:hAnsi="仿宋" w:eastAsia="仿宋" w:cs="仿宋"/>
          <w:color w:val="auto"/>
          <w:sz w:val="24"/>
          <w:highlight w:val="none"/>
        </w:rPr>
        <w:t>乙</w:t>
      </w:r>
      <w:r>
        <w:rPr>
          <w:rFonts w:ascii="仿宋" w:hAnsi="仿宋" w:eastAsia="仿宋" w:cs="仿宋"/>
          <w:color w:val="auto"/>
          <w:sz w:val="24"/>
          <w:highlight w:val="none"/>
        </w:rPr>
        <w:t>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 xml:space="preserve">3 </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lang w:val="zh-CN"/>
        </w:rPr>
        <w:t>验收方法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按照国家的技术规范和采购标准验收，甲方对乙方所供货物按照规范随机抽样送第三方检测机构检测，检测范围由甲方决定，检测费用由甲方承担，若检测结果不合格则该批次产品视为不合格给予退场，所产生的费用乙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4  </w:t>
      </w:r>
      <w:r>
        <w:rPr>
          <w:rFonts w:hint="eastAsia" w:ascii="仿宋" w:hAnsi="仿宋" w:eastAsia="仿宋" w:cs="仿宋"/>
          <w:b/>
          <w:color w:val="auto"/>
          <w:sz w:val="24"/>
          <w:highlight w:val="none"/>
        </w:rPr>
        <w:t>交货地点、交货人员、交货期限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4.1</w:t>
      </w:r>
      <w:r>
        <w:rPr>
          <w:rFonts w:hint="eastAsia" w:ascii="仿宋" w:hAnsi="仿宋" w:eastAsia="仿宋" w:cs="仿宋"/>
          <w:color w:val="auto"/>
          <w:sz w:val="24"/>
          <w:highlight w:val="none"/>
        </w:rPr>
        <w:t>交货地点：甲方指定交货地点，乙方按甲方的供货通知所要求的规格、数量，供应甲方合同明细中要求的物资。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4.2</w:t>
      </w:r>
      <w:r>
        <w:rPr>
          <w:rFonts w:hint="eastAsia" w:ascii="仿宋" w:hAnsi="仿宋" w:eastAsia="仿宋" w:cs="仿宋"/>
          <w:color w:val="auto"/>
          <w:sz w:val="24"/>
          <w:highlight w:val="none"/>
        </w:rPr>
        <w:t>甲方指定收货人员：姓名</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highlight w:val="none"/>
        </w:rPr>
        <w:t>负责签字验收，甲方如要求变更验收签字人，应在交货前书面通知乙方，作为本合同的补充条款，非甲方指定人员签字的货单，甲方不予结算。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4.3</w:t>
      </w:r>
      <w:r>
        <w:rPr>
          <w:rFonts w:hint="eastAsia" w:ascii="仿宋" w:hAnsi="仿宋" w:eastAsia="仿宋" w:cs="仿宋"/>
          <w:color w:val="auto"/>
          <w:sz w:val="24"/>
          <w:highlight w:val="none"/>
        </w:rPr>
        <w:t>交货日期：合同签订完成，甲方下采购订单，乙方收到订单后15天内具备供货条件，乙方收到每批次货物供货指令72小时内送达该项目指定地点。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5  </w:t>
      </w:r>
      <w:r>
        <w:rPr>
          <w:rFonts w:hint="eastAsia" w:ascii="仿宋" w:hAnsi="仿宋" w:eastAsia="仿宋" w:cs="仿宋"/>
          <w:b/>
          <w:color w:val="auto"/>
          <w:sz w:val="24"/>
          <w:highlight w:val="none"/>
        </w:rPr>
        <w:t>货款的结算及支付方式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000000"/>
          <w:sz w:val="24"/>
          <w:highlight w:val="none"/>
        </w:rPr>
      </w:pPr>
      <w:r>
        <w:rPr>
          <w:rFonts w:hint="eastAsia" w:ascii="仿宋" w:hAnsi="仿宋" w:eastAsia="仿宋" w:cs="仿宋"/>
          <w:color w:val="auto"/>
          <w:sz w:val="24"/>
          <w:highlight w:val="none"/>
          <w:lang w:val="en-US" w:eastAsia="zh-CN"/>
        </w:rPr>
        <w:t>5.1</w:t>
      </w:r>
      <w:r>
        <w:rPr>
          <w:rFonts w:hint="eastAsia" w:ascii="仿宋" w:hAnsi="仿宋" w:eastAsia="仿宋" w:cs="仿宋"/>
          <w:color w:val="auto"/>
          <w:sz w:val="24"/>
          <w:highlight w:val="none"/>
        </w:rPr>
        <w:t>计量方式：若现场有地磅，则过磅计量；不具备过磅条件的，以量方计量，出场磅单复核。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5.2</w:t>
      </w:r>
      <w:r>
        <w:rPr>
          <w:rFonts w:hint="eastAsia" w:ascii="仿宋" w:hAnsi="仿宋" w:eastAsia="仿宋" w:cs="仿宋"/>
          <w:color w:val="000000"/>
          <w:sz w:val="24"/>
          <w:highlight w:val="none"/>
        </w:rPr>
        <w:t>结算方式：月结，当月20日至次月19日为一个结算周期，结算周期结束后5日内双方就供应合格物资办理对账结算；对账结算完毕，乙方提交对应金额的增值税专用发票，甲方收到发票后15个工作日内以包括但不限于银行转账、银行承兑汇票支付该月结算物资价款的100%。（如甲方以银行承兑方式支付货款的，承兑贴现利息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5.3乙方指定收款账户：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名    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开 户 行：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账    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5.4甲方开票信息：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名    称：</w:t>
      </w:r>
      <w:r>
        <w:rPr>
          <w:rFonts w:hint="eastAsia" w:ascii="仿宋" w:hAnsi="仿宋" w:eastAsia="仿宋" w:cs="仿宋"/>
          <w:color w:val="000000"/>
          <w:sz w:val="24"/>
          <w:highlight w:val="none"/>
          <w:u w:val="single"/>
        </w:rPr>
        <w:t>海南洋浦陆海国际贸易有限公司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纳税人识别号：</w:t>
      </w:r>
      <w:r>
        <w:rPr>
          <w:rFonts w:hint="eastAsia" w:ascii="仿宋" w:hAnsi="仿宋" w:eastAsia="仿宋" w:cs="仿宋"/>
          <w:color w:val="000000"/>
          <w:sz w:val="24"/>
          <w:highlight w:val="none"/>
          <w:u w:val="single"/>
        </w:rPr>
        <w:t>91460000MABU89U388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营业地址：</w:t>
      </w:r>
      <w:r>
        <w:rPr>
          <w:rFonts w:hint="eastAsia" w:ascii="仿宋" w:hAnsi="仿宋" w:eastAsia="仿宋" w:cs="仿宋"/>
          <w:color w:val="000000"/>
          <w:sz w:val="24"/>
          <w:highlight w:val="none"/>
          <w:u w:val="single"/>
        </w:rPr>
        <w:t>海南省洋浦经济开发区新英湾区控股大道洋浦大厦8楼818房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电    话：</w:t>
      </w:r>
      <w:r>
        <w:rPr>
          <w:rFonts w:hint="eastAsia" w:ascii="仿宋" w:hAnsi="仿宋" w:eastAsia="仿宋" w:cs="仿宋"/>
          <w:color w:val="000000"/>
          <w:sz w:val="24"/>
          <w:highlight w:val="none"/>
          <w:u w:val="single"/>
        </w:rPr>
        <w:t>0898-28816705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开 户 行：</w:t>
      </w:r>
      <w:r>
        <w:rPr>
          <w:rFonts w:hint="eastAsia" w:ascii="仿宋" w:hAnsi="仿宋" w:eastAsia="仿宋" w:cs="仿宋"/>
          <w:color w:val="000000"/>
          <w:sz w:val="24"/>
          <w:highlight w:val="none"/>
          <w:u w:val="single"/>
        </w:rPr>
        <w:t>海南银行股份有限公司洋浦支行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rPr>
        <w:t>银行账号：</w:t>
      </w:r>
      <w:r>
        <w:rPr>
          <w:rFonts w:hint="eastAsia" w:ascii="仿宋" w:hAnsi="仿宋" w:eastAsia="仿宋" w:cs="仿宋"/>
          <w:color w:val="000000"/>
          <w:sz w:val="24"/>
          <w:highlight w:val="none"/>
          <w:u w:val="single"/>
        </w:rPr>
        <w:t>6005178800010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color w:val="000000"/>
          <w:sz w:val="24"/>
          <w:highlight w:val="none"/>
          <w:u w:val="none"/>
        </w:rPr>
      </w:pPr>
      <w:r>
        <w:rPr>
          <w:rFonts w:hint="eastAsia" w:ascii="仿宋" w:hAnsi="仿宋" w:eastAsia="仿宋" w:cs="仿宋"/>
          <w:b/>
          <w:bCs/>
          <w:color w:val="000000"/>
          <w:sz w:val="24"/>
          <w:highlight w:val="none"/>
          <w:u w:val="none"/>
        </w:rPr>
        <w:t>6 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6.1乙方若不能按甲方需求在规定期限送至指定现场存货地点，乙方将承担因此造成的一切损失，并且甲方向乙方收取逾期运达物资总额（含增值税）每日0.5％的违约金，若逾期三天以上，则甲方有权因乙方违约而单方解除本合同。（产品实际运送到合同指定地点的时间为乙方的实际交货时间，并以此来确定是否构成逾期交货）；若因乙方逾期供货，导致甲方所负责供应的项目工期延误，甲方因此而遭受损失的，则甲方可按照批次货价的20%收取违约金，同时可要求乙方赔偿因工程延期而使甲方遭受的全部损失。若出现此类情况两次，则甲方可单方解除合同。乙方不得因甲方未按期付款而停止供应，如因停止供应造成的损失参照乙方逾期供应违约责任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6.2本合同所采购与供应的物资，在进场验收或使用过程中（规定质量保证期限内）出现品牌规格数量不符、单据丢失、物资质量不达标等问题，甲方可按下列条款中的一条或多条向乙方主张权利：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（1）甲方有权拒收物资，乙方应把被拒收物资的预付货款返还甲方。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（2）要求乙方承担退货过程中发生的一切损失和费用，包括利息、银行费用、运输和保险费、检验费、仓储和装卸费以及为保管和保护退货货物所需的其它费用。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3）若乙方出现单据丢失等情况，则甲方对乙方每次处以500元人民币的违约金，且乙方必须负责将有关单据补充完善；若因此类情况导致工期出现延误的，导致甲方遭受损失，甲方有权要求乙方按照当批次货价20%支付违约金，并赔偿由此遭受的全部损失；若出现此类情况两次，则甲方可单方解除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4）若出现规格数量不符的情况，甲方有权要求乙方在3日内补足所要求规格或数量的物资，同时甲方对乙方每次处以1000元人民币的违约金；若因此类情况导致工期出现延误的，导致甲方遭受损失，甲方有权要求乙方按照当批次货价20%支付违约金，并赔偿由此遭受的全部损失；若出现此类情况两次，则甲方可单方解除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5）若出现质量不合格或随机抽检不合格的产品，甲方有权邀请具有检测资质的检测机构进行全面检验，并出具检验证书，若证实乙方所供物资不符合要求，甲方对乙方每次处以20000元人民币的违约金，最高不超过合同总金额的10%，若因此类情况导致工期出现延误的，导致甲方遭受损失，甲方有权要求乙方按照当批次货价20%支付违约金，并赔偿由此遭受的全部损失；乙方需72小时内更换有缺陷的物资，以达到合同约定的质量和性能，不能及时更换，则乙方需承担每次500元的违约金，且乙方承担一切费用和风险，同时相应延长被更换物资的质量保证期；若出现此类情况两次，则甲方可单方解除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6.3在甲方向乙方支付结算货款前，乙方应向甲方开具信息真实、准确、合规合法的增值税专用发票。因乙方开具的发票不规范、不合法或涉嫌虚开发票，给甲方造成无法及时认证、抵扣发票等税务问题，甲方有权据此不支付相应的货款，且不构成合同违约，乙方应向甲方重新开具发票，并向甲方承担赔偿责任，包括但不限于税款、滞纳金、罚款及相关损失等。如因业主、政府未及时付款而造成甲方逾期付款的，乙方应予理解，甲方不因此承担逾期付款违约责任，且甲方不承担逾期付款的利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6.4任何一方违反本合同的义务给其他守约方造成损失的，违约方都应当立即停止违约行为，并承担赔偿损失责任，包括但不限于守约方为追索权利而支出的诉讼费、保全费、评估费、鉴定费、调查费、公证费、律师费，以及向第三方支付的赔偿、为应对第三方的指控而支付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b/>
          <w:bCs/>
          <w:color w:val="000000"/>
          <w:sz w:val="24"/>
          <w:highlight w:val="none"/>
          <w:u w:val="none"/>
        </w:rPr>
      </w:pPr>
      <w:r>
        <w:rPr>
          <w:rFonts w:hint="eastAsia" w:ascii="仿宋" w:hAnsi="仿宋" w:eastAsia="仿宋" w:cs="仿宋"/>
          <w:b/>
          <w:bCs/>
          <w:color w:val="000000"/>
          <w:sz w:val="24"/>
          <w:highlight w:val="none"/>
          <w:u w:val="none"/>
        </w:rPr>
        <w:t>7  合同生效及争议解决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7.1  本合同经双方加盖公章后生效，有效期至合同履约完毕货、款两清后自动终止；本合同未尽事宜，由甲乙双方另行协商并签订补充协议。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7.2  因本合同（协议）引起的一切争议，由双方当事人协商解决；协商不成，双方将争议提交甲方所在地人民法院解决。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b/>
          <w:bCs/>
          <w:color w:val="000000"/>
          <w:sz w:val="24"/>
          <w:highlight w:val="none"/>
          <w:u w:val="none"/>
        </w:rPr>
      </w:pPr>
      <w:r>
        <w:rPr>
          <w:rFonts w:hint="eastAsia" w:ascii="仿宋" w:hAnsi="仿宋" w:eastAsia="仿宋" w:cs="仿宋"/>
          <w:b/>
          <w:bCs/>
          <w:color w:val="000000"/>
          <w:sz w:val="24"/>
          <w:highlight w:val="none"/>
          <w:u w:val="none"/>
        </w:rPr>
        <w:t>8  通知及送达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8.1  任何一方向对方发出的任何通知均应采取书面形式，并以电话通知对方加以确认。双方共同确认以下联系人、电话、电子邮箱、地址可被用于各方之间书面材料、文件、图纸等送达之联络信息，也可用作于政府部门、人民法院等材料送达之联络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联系电话：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联系邮箱：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联系地址：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联系电话：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联系邮箱：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联系地址：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8.2  任何一方变更本合同所示的项目联系人及联系方式，应提前3日书面通知对方。否则对方有权依据本合同载明的联络信息进行联系，且视为送达。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9  其他约定事项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 xml:space="preserve">9.1  双方往来均以书面形式（指合同书、函件、传真）为准。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000000"/>
          <w:sz w:val="24"/>
          <w:highlight w:val="none"/>
          <w:u w:val="none"/>
        </w:rPr>
      </w:pPr>
      <w:r>
        <w:rPr>
          <w:rFonts w:hint="eastAsia" w:ascii="仿宋" w:hAnsi="仿宋" w:eastAsia="仿宋" w:cs="仿宋"/>
          <w:color w:val="000000"/>
          <w:sz w:val="24"/>
          <w:highlight w:val="none"/>
          <w:u w:val="none"/>
        </w:rPr>
        <w:t>9.2  本合同一式肆份，甲方贰份，乙方贰份，均具有同等法律效力。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法人代表（签章）：                  法人代表（签章）：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签署日期：2024年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ascii="仿宋" w:hAnsi="仿宋" w:eastAsia="仿宋" w:cs="仿宋"/>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ascii="仿宋" w:hAnsi="仿宋" w:eastAsia="仿宋" w:cs="仿宋"/>
          <w:color w:val="auto"/>
          <w:sz w:val="24"/>
          <w:highlight w:val="none"/>
          <w:lang w:val="en-US" w:eastAsia="zh-CN"/>
        </w:rPr>
      </w:pPr>
    </w:p>
    <w:sectPr>
      <w:pgSz w:w="11906" w:h="16838"/>
      <w:pgMar w:top="1440"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31E6C"/>
    <w:multiLevelType w:val="singleLevel"/>
    <w:tmpl w:val="A3B31E6C"/>
    <w:lvl w:ilvl="0" w:tentative="0">
      <w:start w:val="5"/>
      <w:numFmt w:val="chineseCounting"/>
      <w:suff w:val="nothing"/>
      <w:lvlText w:val="%1、"/>
      <w:lvlJc w:val="left"/>
      <w:rPr>
        <w:rFonts w:hint="eastAsia"/>
      </w:rPr>
    </w:lvl>
  </w:abstractNum>
  <w:abstractNum w:abstractNumId="1">
    <w:nsid w:val="41483988"/>
    <w:multiLevelType w:val="multilevel"/>
    <w:tmpl w:val="41483988"/>
    <w:lvl w:ilvl="0" w:tentative="0">
      <w:start w:val="1"/>
      <w:numFmt w:val="japaneseCounting"/>
      <w:lvlText w:val="第%1章"/>
      <w:lvlJc w:val="left"/>
      <w:pPr>
        <w:ind w:left="765" w:hanging="76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9B3944"/>
    <w:multiLevelType w:val="singleLevel"/>
    <w:tmpl w:val="7E9B394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NGVhNGQ0MzhiMjFiYjBhNmE5NTVkYWNkYmJmZmUifQ=="/>
  </w:docVars>
  <w:rsids>
    <w:rsidRoot w:val="00172A27"/>
    <w:rsid w:val="000322C8"/>
    <w:rsid w:val="000551DA"/>
    <w:rsid w:val="000A07BA"/>
    <w:rsid w:val="000C2EE7"/>
    <w:rsid w:val="00165A1D"/>
    <w:rsid w:val="00172A27"/>
    <w:rsid w:val="00256431"/>
    <w:rsid w:val="002D53C0"/>
    <w:rsid w:val="002E3CD7"/>
    <w:rsid w:val="00305FCC"/>
    <w:rsid w:val="004036CE"/>
    <w:rsid w:val="00445F3F"/>
    <w:rsid w:val="004F490E"/>
    <w:rsid w:val="00581D8A"/>
    <w:rsid w:val="005C3DEF"/>
    <w:rsid w:val="005E7B4D"/>
    <w:rsid w:val="00604E52"/>
    <w:rsid w:val="00612820"/>
    <w:rsid w:val="007434AE"/>
    <w:rsid w:val="00823B3B"/>
    <w:rsid w:val="008F0597"/>
    <w:rsid w:val="009579B0"/>
    <w:rsid w:val="00960906"/>
    <w:rsid w:val="00981CC8"/>
    <w:rsid w:val="00A5311F"/>
    <w:rsid w:val="00A741E6"/>
    <w:rsid w:val="00AE02D7"/>
    <w:rsid w:val="00B3767C"/>
    <w:rsid w:val="00B72181"/>
    <w:rsid w:val="00B76B04"/>
    <w:rsid w:val="00C55FAD"/>
    <w:rsid w:val="00C84769"/>
    <w:rsid w:val="00CE0085"/>
    <w:rsid w:val="00D14A8E"/>
    <w:rsid w:val="00D4048F"/>
    <w:rsid w:val="00ED7AB7"/>
    <w:rsid w:val="00F30767"/>
    <w:rsid w:val="00F43B19"/>
    <w:rsid w:val="00F97405"/>
    <w:rsid w:val="01007893"/>
    <w:rsid w:val="010E183C"/>
    <w:rsid w:val="01251EF0"/>
    <w:rsid w:val="01330404"/>
    <w:rsid w:val="0138621E"/>
    <w:rsid w:val="013B4C08"/>
    <w:rsid w:val="013D5BA6"/>
    <w:rsid w:val="015A60C5"/>
    <w:rsid w:val="016E6580"/>
    <w:rsid w:val="01792419"/>
    <w:rsid w:val="018F0B1E"/>
    <w:rsid w:val="01951DB9"/>
    <w:rsid w:val="01C039CE"/>
    <w:rsid w:val="01EE37A5"/>
    <w:rsid w:val="0208611B"/>
    <w:rsid w:val="023358A9"/>
    <w:rsid w:val="023615AF"/>
    <w:rsid w:val="024A4D97"/>
    <w:rsid w:val="02601A9E"/>
    <w:rsid w:val="02852330"/>
    <w:rsid w:val="028C773C"/>
    <w:rsid w:val="029810C9"/>
    <w:rsid w:val="029A3510"/>
    <w:rsid w:val="02AC3328"/>
    <w:rsid w:val="02B45D30"/>
    <w:rsid w:val="02B97306"/>
    <w:rsid w:val="02C62D99"/>
    <w:rsid w:val="02C649F6"/>
    <w:rsid w:val="02D264D3"/>
    <w:rsid w:val="02D62AD3"/>
    <w:rsid w:val="02E77606"/>
    <w:rsid w:val="02F900F0"/>
    <w:rsid w:val="030A27A5"/>
    <w:rsid w:val="030A5E0C"/>
    <w:rsid w:val="03173959"/>
    <w:rsid w:val="03215A31"/>
    <w:rsid w:val="034977D0"/>
    <w:rsid w:val="035C1B9B"/>
    <w:rsid w:val="038C33CC"/>
    <w:rsid w:val="03AE3097"/>
    <w:rsid w:val="03D374CA"/>
    <w:rsid w:val="03D7388C"/>
    <w:rsid w:val="03DD306A"/>
    <w:rsid w:val="03E92771"/>
    <w:rsid w:val="04016E45"/>
    <w:rsid w:val="04512A9A"/>
    <w:rsid w:val="045F7637"/>
    <w:rsid w:val="04647342"/>
    <w:rsid w:val="047B2FED"/>
    <w:rsid w:val="04800691"/>
    <w:rsid w:val="04906F0D"/>
    <w:rsid w:val="049E03BF"/>
    <w:rsid w:val="04A73375"/>
    <w:rsid w:val="04B11640"/>
    <w:rsid w:val="04C82992"/>
    <w:rsid w:val="04CF3061"/>
    <w:rsid w:val="04D933C6"/>
    <w:rsid w:val="04E12363"/>
    <w:rsid w:val="04E8654F"/>
    <w:rsid w:val="050C42D8"/>
    <w:rsid w:val="050E3F58"/>
    <w:rsid w:val="051B6851"/>
    <w:rsid w:val="051C02E6"/>
    <w:rsid w:val="05317607"/>
    <w:rsid w:val="05373B8C"/>
    <w:rsid w:val="055E7A09"/>
    <w:rsid w:val="057766D7"/>
    <w:rsid w:val="05800CAE"/>
    <w:rsid w:val="05964237"/>
    <w:rsid w:val="05A07863"/>
    <w:rsid w:val="05BA56F5"/>
    <w:rsid w:val="05C00463"/>
    <w:rsid w:val="05CA70D4"/>
    <w:rsid w:val="05EF1B36"/>
    <w:rsid w:val="05F7537D"/>
    <w:rsid w:val="063D3E8F"/>
    <w:rsid w:val="063E4AA0"/>
    <w:rsid w:val="06456A8C"/>
    <w:rsid w:val="064F2365"/>
    <w:rsid w:val="066958C6"/>
    <w:rsid w:val="066B1C96"/>
    <w:rsid w:val="06B0129E"/>
    <w:rsid w:val="06B81D95"/>
    <w:rsid w:val="06D12E83"/>
    <w:rsid w:val="06EE69EC"/>
    <w:rsid w:val="06F82B7E"/>
    <w:rsid w:val="07571D11"/>
    <w:rsid w:val="07826A4B"/>
    <w:rsid w:val="07BF12C2"/>
    <w:rsid w:val="07C6738E"/>
    <w:rsid w:val="07E74A05"/>
    <w:rsid w:val="087D7EB4"/>
    <w:rsid w:val="088038FF"/>
    <w:rsid w:val="08852E3A"/>
    <w:rsid w:val="08B140CE"/>
    <w:rsid w:val="08BC212A"/>
    <w:rsid w:val="08C3763E"/>
    <w:rsid w:val="08C506E5"/>
    <w:rsid w:val="08C52D6F"/>
    <w:rsid w:val="08E46EA7"/>
    <w:rsid w:val="08F700C6"/>
    <w:rsid w:val="090B6406"/>
    <w:rsid w:val="09153429"/>
    <w:rsid w:val="0915706F"/>
    <w:rsid w:val="091932F8"/>
    <w:rsid w:val="092578F3"/>
    <w:rsid w:val="092A77E7"/>
    <w:rsid w:val="0942111F"/>
    <w:rsid w:val="09440302"/>
    <w:rsid w:val="09573735"/>
    <w:rsid w:val="096950FC"/>
    <w:rsid w:val="09837CAA"/>
    <w:rsid w:val="09860C2E"/>
    <w:rsid w:val="09A058FC"/>
    <w:rsid w:val="09A84666"/>
    <w:rsid w:val="09B65072"/>
    <w:rsid w:val="09C0007E"/>
    <w:rsid w:val="09C25EC2"/>
    <w:rsid w:val="0A174378"/>
    <w:rsid w:val="0A201A63"/>
    <w:rsid w:val="0A3A19D7"/>
    <w:rsid w:val="0A484CEC"/>
    <w:rsid w:val="0A5E145B"/>
    <w:rsid w:val="0A64281B"/>
    <w:rsid w:val="0A840B51"/>
    <w:rsid w:val="0A8B04DC"/>
    <w:rsid w:val="0A9F717D"/>
    <w:rsid w:val="0AA9161C"/>
    <w:rsid w:val="0AB01615"/>
    <w:rsid w:val="0AEF46AA"/>
    <w:rsid w:val="0AF97291"/>
    <w:rsid w:val="0B0902B5"/>
    <w:rsid w:val="0B0B67DD"/>
    <w:rsid w:val="0B1178E2"/>
    <w:rsid w:val="0B166BED"/>
    <w:rsid w:val="0B2B090C"/>
    <w:rsid w:val="0B39324F"/>
    <w:rsid w:val="0B3E1A17"/>
    <w:rsid w:val="0B5843AD"/>
    <w:rsid w:val="0B7B7DE4"/>
    <w:rsid w:val="0B875DF5"/>
    <w:rsid w:val="0B8C3357"/>
    <w:rsid w:val="0BCC0869"/>
    <w:rsid w:val="0BDA5375"/>
    <w:rsid w:val="0BFF0784"/>
    <w:rsid w:val="0C177C63"/>
    <w:rsid w:val="0C6D1CF5"/>
    <w:rsid w:val="0C885FA2"/>
    <w:rsid w:val="0CA47578"/>
    <w:rsid w:val="0CBF4BF8"/>
    <w:rsid w:val="0CF307C8"/>
    <w:rsid w:val="0D095E08"/>
    <w:rsid w:val="0D170060"/>
    <w:rsid w:val="0D240477"/>
    <w:rsid w:val="0D3D4B21"/>
    <w:rsid w:val="0D3E1166"/>
    <w:rsid w:val="0D500C64"/>
    <w:rsid w:val="0D583AF2"/>
    <w:rsid w:val="0D587A08"/>
    <w:rsid w:val="0D5B2DEF"/>
    <w:rsid w:val="0D5E7BE0"/>
    <w:rsid w:val="0D7C4DD5"/>
    <w:rsid w:val="0D7E3D32"/>
    <w:rsid w:val="0D80557A"/>
    <w:rsid w:val="0D9D79B0"/>
    <w:rsid w:val="0DA22DAC"/>
    <w:rsid w:val="0DBA2892"/>
    <w:rsid w:val="0DD359BA"/>
    <w:rsid w:val="0DF74DCF"/>
    <w:rsid w:val="0DF8260B"/>
    <w:rsid w:val="0DF96D54"/>
    <w:rsid w:val="0E160A26"/>
    <w:rsid w:val="0E536302"/>
    <w:rsid w:val="0E7041BA"/>
    <w:rsid w:val="0E716CB9"/>
    <w:rsid w:val="0E7A4ECE"/>
    <w:rsid w:val="0E7B0752"/>
    <w:rsid w:val="0E7C61D3"/>
    <w:rsid w:val="0E876762"/>
    <w:rsid w:val="0E8D3EEF"/>
    <w:rsid w:val="0E983E63"/>
    <w:rsid w:val="0EAC1495"/>
    <w:rsid w:val="0EB42572"/>
    <w:rsid w:val="0EB7249A"/>
    <w:rsid w:val="0EBF433E"/>
    <w:rsid w:val="0EC87637"/>
    <w:rsid w:val="0EF330E4"/>
    <w:rsid w:val="0F126346"/>
    <w:rsid w:val="0F1966EA"/>
    <w:rsid w:val="0F262DE9"/>
    <w:rsid w:val="0F542633"/>
    <w:rsid w:val="0F5B66DF"/>
    <w:rsid w:val="0F8356F3"/>
    <w:rsid w:val="0F8D784A"/>
    <w:rsid w:val="0F9E675B"/>
    <w:rsid w:val="0FA35C35"/>
    <w:rsid w:val="0FD50F57"/>
    <w:rsid w:val="0FD53E86"/>
    <w:rsid w:val="0FE51F22"/>
    <w:rsid w:val="0FF629CC"/>
    <w:rsid w:val="100D326B"/>
    <w:rsid w:val="10104B71"/>
    <w:rsid w:val="101D2E10"/>
    <w:rsid w:val="10211D87"/>
    <w:rsid w:val="10311FCB"/>
    <w:rsid w:val="103764A9"/>
    <w:rsid w:val="10407146"/>
    <w:rsid w:val="105534DB"/>
    <w:rsid w:val="107F2121"/>
    <w:rsid w:val="10802972"/>
    <w:rsid w:val="10805FA1"/>
    <w:rsid w:val="10861AAB"/>
    <w:rsid w:val="109158BE"/>
    <w:rsid w:val="10950A41"/>
    <w:rsid w:val="10A50B70"/>
    <w:rsid w:val="10AC5865"/>
    <w:rsid w:val="10AE3B69"/>
    <w:rsid w:val="10AF15EB"/>
    <w:rsid w:val="10B45A32"/>
    <w:rsid w:val="10BD5581"/>
    <w:rsid w:val="10C478D1"/>
    <w:rsid w:val="10C932F0"/>
    <w:rsid w:val="10D91E0A"/>
    <w:rsid w:val="10E80C92"/>
    <w:rsid w:val="11105771"/>
    <w:rsid w:val="111E5122"/>
    <w:rsid w:val="112315AA"/>
    <w:rsid w:val="11236961"/>
    <w:rsid w:val="112D573C"/>
    <w:rsid w:val="112E2B27"/>
    <w:rsid w:val="11352AC3"/>
    <w:rsid w:val="114C5FF1"/>
    <w:rsid w:val="115241D9"/>
    <w:rsid w:val="115E178F"/>
    <w:rsid w:val="11670D99"/>
    <w:rsid w:val="117D2F3D"/>
    <w:rsid w:val="11850FF5"/>
    <w:rsid w:val="1198722D"/>
    <w:rsid w:val="11A852B4"/>
    <w:rsid w:val="11B33417"/>
    <w:rsid w:val="11B67C1F"/>
    <w:rsid w:val="11C54E00"/>
    <w:rsid w:val="11CA6E7F"/>
    <w:rsid w:val="11CB5437"/>
    <w:rsid w:val="11F01D76"/>
    <w:rsid w:val="11F92440"/>
    <w:rsid w:val="12111232"/>
    <w:rsid w:val="122F07E2"/>
    <w:rsid w:val="12697AD8"/>
    <w:rsid w:val="12974DAB"/>
    <w:rsid w:val="12AB39AF"/>
    <w:rsid w:val="12CF6944"/>
    <w:rsid w:val="12D31474"/>
    <w:rsid w:val="12F266AE"/>
    <w:rsid w:val="12FE713F"/>
    <w:rsid w:val="130377D4"/>
    <w:rsid w:val="13191A65"/>
    <w:rsid w:val="1322619E"/>
    <w:rsid w:val="133B4F6A"/>
    <w:rsid w:val="13435E6F"/>
    <w:rsid w:val="13581549"/>
    <w:rsid w:val="13795301"/>
    <w:rsid w:val="13B103E8"/>
    <w:rsid w:val="13B43E61"/>
    <w:rsid w:val="13BB7800"/>
    <w:rsid w:val="13DF1642"/>
    <w:rsid w:val="13E65C0E"/>
    <w:rsid w:val="13FC2057"/>
    <w:rsid w:val="14191607"/>
    <w:rsid w:val="141B0D1A"/>
    <w:rsid w:val="141E3E26"/>
    <w:rsid w:val="1425541A"/>
    <w:rsid w:val="14517563"/>
    <w:rsid w:val="145233B5"/>
    <w:rsid w:val="145F1893"/>
    <w:rsid w:val="14891FF9"/>
    <w:rsid w:val="14BA590D"/>
    <w:rsid w:val="14BC4694"/>
    <w:rsid w:val="14E91932"/>
    <w:rsid w:val="14EB7761"/>
    <w:rsid w:val="151D3A6A"/>
    <w:rsid w:val="15433673"/>
    <w:rsid w:val="154D06FF"/>
    <w:rsid w:val="15531FB2"/>
    <w:rsid w:val="155A361E"/>
    <w:rsid w:val="15863D5C"/>
    <w:rsid w:val="159E0778"/>
    <w:rsid w:val="15C1530C"/>
    <w:rsid w:val="15C26140"/>
    <w:rsid w:val="15CC12F5"/>
    <w:rsid w:val="15CD44D1"/>
    <w:rsid w:val="15F1340C"/>
    <w:rsid w:val="15FD2C8D"/>
    <w:rsid w:val="162D7C18"/>
    <w:rsid w:val="16412AB3"/>
    <w:rsid w:val="164416AF"/>
    <w:rsid w:val="1651252C"/>
    <w:rsid w:val="16585B38"/>
    <w:rsid w:val="165C08BD"/>
    <w:rsid w:val="16614A83"/>
    <w:rsid w:val="167A36F0"/>
    <w:rsid w:val="1680307B"/>
    <w:rsid w:val="168A721F"/>
    <w:rsid w:val="168C6E8D"/>
    <w:rsid w:val="16984600"/>
    <w:rsid w:val="16AE40A0"/>
    <w:rsid w:val="16C873EC"/>
    <w:rsid w:val="16D01B76"/>
    <w:rsid w:val="16EF24B1"/>
    <w:rsid w:val="16F127B2"/>
    <w:rsid w:val="16F8590B"/>
    <w:rsid w:val="16FB645D"/>
    <w:rsid w:val="1703454E"/>
    <w:rsid w:val="171112E5"/>
    <w:rsid w:val="17192051"/>
    <w:rsid w:val="17213AFE"/>
    <w:rsid w:val="1724738B"/>
    <w:rsid w:val="17460232"/>
    <w:rsid w:val="175E3962"/>
    <w:rsid w:val="176A7CB6"/>
    <w:rsid w:val="17705EA4"/>
    <w:rsid w:val="17882F0B"/>
    <w:rsid w:val="17922031"/>
    <w:rsid w:val="17944621"/>
    <w:rsid w:val="179E18E9"/>
    <w:rsid w:val="17AF62A0"/>
    <w:rsid w:val="17B83255"/>
    <w:rsid w:val="17BE07CA"/>
    <w:rsid w:val="17D54619"/>
    <w:rsid w:val="17DE2FB7"/>
    <w:rsid w:val="17DE4D47"/>
    <w:rsid w:val="17EB1C10"/>
    <w:rsid w:val="18136FA0"/>
    <w:rsid w:val="18143491"/>
    <w:rsid w:val="181D6EA6"/>
    <w:rsid w:val="18492EF0"/>
    <w:rsid w:val="185254F4"/>
    <w:rsid w:val="185C5F13"/>
    <w:rsid w:val="185E6D88"/>
    <w:rsid w:val="18740F2C"/>
    <w:rsid w:val="187939A8"/>
    <w:rsid w:val="187E50BF"/>
    <w:rsid w:val="188B0B51"/>
    <w:rsid w:val="18A2459B"/>
    <w:rsid w:val="18C36111"/>
    <w:rsid w:val="18C94AD3"/>
    <w:rsid w:val="18DE2ED2"/>
    <w:rsid w:val="18E06F8D"/>
    <w:rsid w:val="18E21560"/>
    <w:rsid w:val="18EB5025"/>
    <w:rsid w:val="190742CD"/>
    <w:rsid w:val="190D36A9"/>
    <w:rsid w:val="19304DCF"/>
    <w:rsid w:val="19442175"/>
    <w:rsid w:val="194476BE"/>
    <w:rsid w:val="196F44CB"/>
    <w:rsid w:val="19723BF7"/>
    <w:rsid w:val="197A134F"/>
    <w:rsid w:val="197E4D27"/>
    <w:rsid w:val="198E78C5"/>
    <w:rsid w:val="19A857BB"/>
    <w:rsid w:val="19BA37C2"/>
    <w:rsid w:val="19DC2ECA"/>
    <w:rsid w:val="19E35721"/>
    <w:rsid w:val="19ED6C41"/>
    <w:rsid w:val="19FE7107"/>
    <w:rsid w:val="1A1C1CE5"/>
    <w:rsid w:val="1A234EFA"/>
    <w:rsid w:val="1A4E5D2F"/>
    <w:rsid w:val="1A7D0090"/>
    <w:rsid w:val="1AB319BE"/>
    <w:rsid w:val="1AD4393F"/>
    <w:rsid w:val="1AD77563"/>
    <w:rsid w:val="1AE509FF"/>
    <w:rsid w:val="1AE54FD5"/>
    <w:rsid w:val="1AEC06BC"/>
    <w:rsid w:val="1AF26D42"/>
    <w:rsid w:val="1B2003AC"/>
    <w:rsid w:val="1B2F613A"/>
    <w:rsid w:val="1B2F6BA7"/>
    <w:rsid w:val="1B853D32"/>
    <w:rsid w:val="1B8835E4"/>
    <w:rsid w:val="1BC50BBF"/>
    <w:rsid w:val="1BDE1C65"/>
    <w:rsid w:val="1BEC49DB"/>
    <w:rsid w:val="1BEE0B84"/>
    <w:rsid w:val="1BFC7520"/>
    <w:rsid w:val="1C0B2F27"/>
    <w:rsid w:val="1C4231EC"/>
    <w:rsid w:val="1C43753B"/>
    <w:rsid w:val="1C4E11FC"/>
    <w:rsid w:val="1C56219C"/>
    <w:rsid w:val="1C7B464A"/>
    <w:rsid w:val="1C87045D"/>
    <w:rsid w:val="1C8D7DE8"/>
    <w:rsid w:val="1C947772"/>
    <w:rsid w:val="1CA04BF9"/>
    <w:rsid w:val="1CA114E3"/>
    <w:rsid w:val="1CF45E21"/>
    <w:rsid w:val="1D0E0F41"/>
    <w:rsid w:val="1D0F0C74"/>
    <w:rsid w:val="1D1D63D2"/>
    <w:rsid w:val="1D3E218A"/>
    <w:rsid w:val="1D42444B"/>
    <w:rsid w:val="1D497EE6"/>
    <w:rsid w:val="1D4B0FD4"/>
    <w:rsid w:val="1D510BDB"/>
    <w:rsid w:val="1D551DAF"/>
    <w:rsid w:val="1D5B3CB8"/>
    <w:rsid w:val="1D8C3CD3"/>
    <w:rsid w:val="1DA1569E"/>
    <w:rsid w:val="1DBE5F86"/>
    <w:rsid w:val="1DCA52F1"/>
    <w:rsid w:val="1DD57D7F"/>
    <w:rsid w:val="1E0A51EF"/>
    <w:rsid w:val="1E48458C"/>
    <w:rsid w:val="1E552FF2"/>
    <w:rsid w:val="1E5A3B65"/>
    <w:rsid w:val="1E5D4FF0"/>
    <w:rsid w:val="1E6C14AB"/>
    <w:rsid w:val="1E9F5C7C"/>
    <w:rsid w:val="1E9F669B"/>
    <w:rsid w:val="1EA254C4"/>
    <w:rsid w:val="1EDC0931"/>
    <w:rsid w:val="1EF06925"/>
    <w:rsid w:val="1EF85EBB"/>
    <w:rsid w:val="1F2A5C8F"/>
    <w:rsid w:val="1F647CCA"/>
    <w:rsid w:val="1F6E7EA0"/>
    <w:rsid w:val="1F873CBF"/>
    <w:rsid w:val="1FA173F5"/>
    <w:rsid w:val="1FA94802"/>
    <w:rsid w:val="1FC67503"/>
    <w:rsid w:val="1FEF1512"/>
    <w:rsid w:val="1FF33877"/>
    <w:rsid w:val="1FF74072"/>
    <w:rsid w:val="200828C6"/>
    <w:rsid w:val="20085B73"/>
    <w:rsid w:val="200D0CA3"/>
    <w:rsid w:val="2029556A"/>
    <w:rsid w:val="2036713F"/>
    <w:rsid w:val="203C17F2"/>
    <w:rsid w:val="206105A6"/>
    <w:rsid w:val="206D1166"/>
    <w:rsid w:val="207F3560"/>
    <w:rsid w:val="20806BFB"/>
    <w:rsid w:val="20922904"/>
    <w:rsid w:val="209C15AC"/>
    <w:rsid w:val="20A377C7"/>
    <w:rsid w:val="20A90F70"/>
    <w:rsid w:val="20D00624"/>
    <w:rsid w:val="20F51C1F"/>
    <w:rsid w:val="20F64A35"/>
    <w:rsid w:val="20FA3CE2"/>
    <w:rsid w:val="210D1A49"/>
    <w:rsid w:val="211C305E"/>
    <w:rsid w:val="21611CCB"/>
    <w:rsid w:val="21BB5E33"/>
    <w:rsid w:val="21C24E71"/>
    <w:rsid w:val="21D032ED"/>
    <w:rsid w:val="21D21888"/>
    <w:rsid w:val="21DE7CEF"/>
    <w:rsid w:val="21E75FAA"/>
    <w:rsid w:val="21EB0FE8"/>
    <w:rsid w:val="21F471EA"/>
    <w:rsid w:val="21F81B93"/>
    <w:rsid w:val="21FD636C"/>
    <w:rsid w:val="22177DFE"/>
    <w:rsid w:val="22214E8B"/>
    <w:rsid w:val="225F2771"/>
    <w:rsid w:val="227F0AA8"/>
    <w:rsid w:val="22811E51"/>
    <w:rsid w:val="228C7DBD"/>
    <w:rsid w:val="229E1AD7"/>
    <w:rsid w:val="22B51B4C"/>
    <w:rsid w:val="22E753A0"/>
    <w:rsid w:val="23026758"/>
    <w:rsid w:val="23156A1D"/>
    <w:rsid w:val="2316669C"/>
    <w:rsid w:val="231B3959"/>
    <w:rsid w:val="23372454"/>
    <w:rsid w:val="237770F1"/>
    <w:rsid w:val="2379093F"/>
    <w:rsid w:val="237D5522"/>
    <w:rsid w:val="237E49F2"/>
    <w:rsid w:val="237F088B"/>
    <w:rsid w:val="239D2E24"/>
    <w:rsid w:val="239E0EFF"/>
    <w:rsid w:val="23B25C43"/>
    <w:rsid w:val="23BC668F"/>
    <w:rsid w:val="23CD03C9"/>
    <w:rsid w:val="23D0134E"/>
    <w:rsid w:val="23D14BD1"/>
    <w:rsid w:val="23D45A1D"/>
    <w:rsid w:val="23DC20B6"/>
    <w:rsid w:val="23DC5161"/>
    <w:rsid w:val="23E06F49"/>
    <w:rsid w:val="24160D4E"/>
    <w:rsid w:val="24217E53"/>
    <w:rsid w:val="243079AF"/>
    <w:rsid w:val="24364576"/>
    <w:rsid w:val="24470093"/>
    <w:rsid w:val="244A129E"/>
    <w:rsid w:val="244E01E1"/>
    <w:rsid w:val="24523F05"/>
    <w:rsid w:val="246A4D03"/>
    <w:rsid w:val="247D4CEA"/>
    <w:rsid w:val="24CB43A2"/>
    <w:rsid w:val="24D136EA"/>
    <w:rsid w:val="250C526B"/>
    <w:rsid w:val="252044A2"/>
    <w:rsid w:val="25255746"/>
    <w:rsid w:val="25431230"/>
    <w:rsid w:val="256453DD"/>
    <w:rsid w:val="25654636"/>
    <w:rsid w:val="2569146F"/>
    <w:rsid w:val="25783AE7"/>
    <w:rsid w:val="25AD75BF"/>
    <w:rsid w:val="25B40CB1"/>
    <w:rsid w:val="25B87051"/>
    <w:rsid w:val="25C6042C"/>
    <w:rsid w:val="25C82C6A"/>
    <w:rsid w:val="25D36BA2"/>
    <w:rsid w:val="25DC0129"/>
    <w:rsid w:val="25E85CD9"/>
    <w:rsid w:val="25F979C0"/>
    <w:rsid w:val="26060D4A"/>
    <w:rsid w:val="26171CD0"/>
    <w:rsid w:val="261A5A10"/>
    <w:rsid w:val="26251F40"/>
    <w:rsid w:val="26324721"/>
    <w:rsid w:val="26514CEC"/>
    <w:rsid w:val="26517A13"/>
    <w:rsid w:val="26583602"/>
    <w:rsid w:val="26627AEB"/>
    <w:rsid w:val="267473A3"/>
    <w:rsid w:val="267D7CB3"/>
    <w:rsid w:val="26B53474"/>
    <w:rsid w:val="26D07ABD"/>
    <w:rsid w:val="26EF2570"/>
    <w:rsid w:val="26F65840"/>
    <w:rsid w:val="27207AFE"/>
    <w:rsid w:val="27487441"/>
    <w:rsid w:val="276369CB"/>
    <w:rsid w:val="276A6D97"/>
    <w:rsid w:val="276F6341"/>
    <w:rsid w:val="27801B28"/>
    <w:rsid w:val="2796273C"/>
    <w:rsid w:val="27BC6441"/>
    <w:rsid w:val="27E2757A"/>
    <w:rsid w:val="27FE5562"/>
    <w:rsid w:val="28077D25"/>
    <w:rsid w:val="28131E3F"/>
    <w:rsid w:val="2826006E"/>
    <w:rsid w:val="28387423"/>
    <w:rsid w:val="28462B22"/>
    <w:rsid w:val="284D5F37"/>
    <w:rsid w:val="287405B8"/>
    <w:rsid w:val="289159AE"/>
    <w:rsid w:val="28995E80"/>
    <w:rsid w:val="28A30F77"/>
    <w:rsid w:val="28A50C64"/>
    <w:rsid w:val="28E02D20"/>
    <w:rsid w:val="28F7549E"/>
    <w:rsid w:val="290563D8"/>
    <w:rsid w:val="29203333"/>
    <w:rsid w:val="2921752B"/>
    <w:rsid w:val="293811B0"/>
    <w:rsid w:val="295A5561"/>
    <w:rsid w:val="295B2CB4"/>
    <w:rsid w:val="296807F2"/>
    <w:rsid w:val="29937334"/>
    <w:rsid w:val="29956C0B"/>
    <w:rsid w:val="29A739E3"/>
    <w:rsid w:val="29D76730"/>
    <w:rsid w:val="29D97869"/>
    <w:rsid w:val="2A193F65"/>
    <w:rsid w:val="2A567C96"/>
    <w:rsid w:val="2A5C3505"/>
    <w:rsid w:val="2A8320CC"/>
    <w:rsid w:val="2A9867EE"/>
    <w:rsid w:val="2AA6741A"/>
    <w:rsid w:val="2B1B6DC7"/>
    <w:rsid w:val="2B251E53"/>
    <w:rsid w:val="2B4D78BA"/>
    <w:rsid w:val="2BB172BB"/>
    <w:rsid w:val="2BBC513B"/>
    <w:rsid w:val="2BCD376E"/>
    <w:rsid w:val="2C006140"/>
    <w:rsid w:val="2C0A0C4E"/>
    <w:rsid w:val="2C0B282E"/>
    <w:rsid w:val="2C1650BD"/>
    <w:rsid w:val="2C1959E5"/>
    <w:rsid w:val="2C4B77C7"/>
    <w:rsid w:val="2C5867CF"/>
    <w:rsid w:val="2C63351D"/>
    <w:rsid w:val="2C6F1903"/>
    <w:rsid w:val="2C7C7C88"/>
    <w:rsid w:val="2C800533"/>
    <w:rsid w:val="2C824B7E"/>
    <w:rsid w:val="2C8361C5"/>
    <w:rsid w:val="2C863E1B"/>
    <w:rsid w:val="2C892721"/>
    <w:rsid w:val="2C9C273B"/>
    <w:rsid w:val="2CCC6172"/>
    <w:rsid w:val="2CD803A2"/>
    <w:rsid w:val="2CDE3DCB"/>
    <w:rsid w:val="2CDF1F2B"/>
    <w:rsid w:val="2CE82406"/>
    <w:rsid w:val="2CF3181E"/>
    <w:rsid w:val="2CF6517F"/>
    <w:rsid w:val="2D0E7CC8"/>
    <w:rsid w:val="2D24365F"/>
    <w:rsid w:val="2D2C3F30"/>
    <w:rsid w:val="2D3E4627"/>
    <w:rsid w:val="2D5001D5"/>
    <w:rsid w:val="2D5531EF"/>
    <w:rsid w:val="2D7515E3"/>
    <w:rsid w:val="2D843CE4"/>
    <w:rsid w:val="2DA515AB"/>
    <w:rsid w:val="2DAA22A3"/>
    <w:rsid w:val="2DAC1C0D"/>
    <w:rsid w:val="2DCC1298"/>
    <w:rsid w:val="2DD105BA"/>
    <w:rsid w:val="2DDB0EAA"/>
    <w:rsid w:val="2DDC0B49"/>
    <w:rsid w:val="2DDD4A49"/>
    <w:rsid w:val="2E0F1B63"/>
    <w:rsid w:val="2E1135A2"/>
    <w:rsid w:val="2E142328"/>
    <w:rsid w:val="2E1C2A3A"/>
    <w:rsid w:val="2E21163E"/>
    <w:rsid w:val="2E2A5F9E"/>
    <w:rsid w:val="2E81295C"/>
    <w:rsid w:val="2E855ADF"/>
    <w:rsid w:val="2E90145A"/>
    <w:rsid w:val="2E9B555A"/>
    <w:rsid w:val="2EA15034"/>
    <w:rsid w:val="2EC47C6B"/>
    <w:rsid w:val="2EE161F9"/>
    <w:rsid w:val="2EEE550E"/>
    <w:rsid w:val="2EFA1321"/>
    <w:rsid w:val="2F0C123B"/>
    <w:rsid w:val="2F104EF5"/>
    <w:rsid w:val="2F241D9C"/>
    <w:rsid w:val="2F666452"/>
    <w:rsid w:val="2F800A22"/>
    <w:rsid w:val="2FBC6A58"/>
    <w:rsid w:val="2FC751F2"/>
    <w:rsid w:val="2FD101DF"/>
    <w:rsid w:val="2FDB50AB"/>
    <w:rsid w:val="300A1D96"/>
    <w:rsid w:val="30111385"/>
    <w:rsid w:val="3027200C"/>
    <w:rsid w:val="30520144"/>
    <w:rsid w:val="30677C1C"/>
    <w:rsid w:val="30797214"/>
    <w:rsid w:val="307B5F9A"/>
    <w:rsid w:val="30906E39"/>
    <w:rsid w:val="309F007B"/>
    <w:rsid w:val="30A80A26"/>
    <w:rsid w:val="30B152B8"/>
    <w:rsid w:val="30E25866"/>
    <w:rsid w:val="30F23719"/>
    <w:rsid w:val="30F578FE"/>
    <w:rsid w:val="30FC21C9"/>
    <w:rsid w:val="310A313C"/>
    <w:rsid w:val="310D4A9A"/>
    <w:rsid w:val="3114202C"/>
    <w:rsid w:val="311623C2"/>
    <w:rsid w:val="31184E64"/>
    <w:rsid w:val="31310D4C"/>
    <w:rsid w:val="31414A5E"/>
    <w:rsid w:val="3146420E"/>
    <w:rsid w:val="314D2FF9"/>
    <w:rsid w:val="31653999"/>
    <w:rsid w:val="316B25F0"/>
    <w:rsid w:val="316E4972"/>
    <w:rsid w:val="3172742B"/>
    <w:rsid w:val="318375C6"/>
    <w:rsid w:val="318C5DE1"/>
    <w:rsid w:val="31B217A1"/>
    <w:rsid w:val="31DB2ECD"/>
    <w:rsid w:val="31E831E8"/>
    <w:rsid w:val="321336D2"/>
    <w:rsid w:val="321D7C9D"/>
    <w:rsid w:val="322936D7"/>
    <w:rsid w:val="32320BDC"/>
    <w:rsid w:val="3235285C"/>
    <w:rsid w:val="323C48F6"/>
    <w:rsid w:val="324F0BF0"/>
    <w:rsid w:val="324F14D9"/>
    <w:rsid w:val="324F7611"/>
    <w:rsid w:val="327970B9"/>
    <w:rsid w:val="32A73FA5"/>
    <w:rsid w:val="32C42CAC"/>
    <w:rsid w:val="32E06A79"/>
    <w:rsid w:val="32F02819"/>
    <w:rsid w:val="32F9052C"/>
    <w:rsid w:val="32FB3E09"/>
    <w:rsid w:val="33121AA1"/>
    <w:rsid w:val="3317335F"/>
    <w:rsid w:val="331A4072"/>
    <w:rsid w:val="3332073B"/>
    <w:rsid w:val="333F77DD"/>
    <w:rsid w:val="334B0167"/>
    <w:rsid w:val="33650EE0"/>
    <w:rsid w:val="33814278"/>
    <w:rsid w:val="339B3719"/>
    <w:rsid w:val="33A80747"/>
    <w:rsid w:val="33D1020F"/>
    <w:rsid w:val="34025FA8"/>
    <w:rsid w:val="34045845"/>
    <w:rsid w:val="340B74B9"/>
    <w:rsid w:val="34172F02"/>
    <w:rsid w:val="34196405"/>
    <w:rsid w:val="341B4980"/>
    <w:rsid w:val="341C2C0D"/>
    <w:rsid w:val="342938CC"/>
    <w:rsid w:val="342D4A3B"/>
    <w:rsid w:val="3430428F"/>
    <w:rsid w:val="34332832"/>
    <w:rsid w:val="34413D46"/>
    <w:rsid w:val="34486F54"/>
    <w:rsid w:val="34A53B7D"/>
    <w:rsid w:val="34A7725C"/>
    <w:rsid w:val="34A83610"/>
    <w:rsid w:val="34CA6229"/>
    <w:rsid w:val="34D1759B"/>
    <w:rsid w:val="34DF294B"/>
    <w:rsid w:val="34F47564"/>
    <w:rsid w:val="34F66634"/>
    <w:rsid w:val="34FD1A96"/>
    <w:rsid w:val="350A555B"/>
    <w:rsid w:val="350F1170"/>
    <w:rsid w:val="35131DE4"/>
    <w:rsid w:val="35254F3A"/>
    <w:rsid w:val="352759D1"/>
    <w:rsid w:val="3532359C"/>
    <w:rsid w:val="35354668"/>
    <w:rsid w:val="353A6050"/>
    <w:rsid w:val="354040E2"/>
    <w:rsid w:val="355C3599"/>
    <w:rsid w:val="356928AF"/>
    <w:rsid w:val="357C78DE"/>
    <w:rsid w:val="35800436"/>
    <w:rsid w:val="358579DE"/>
    <w:rsid w:val="359336F3"/>
    <w:rsid w:val="35A81A21"/>
    <w:rsid w:val="35B61A9B"/>
    <w:rsid w:val="35B91D36"/>
    <w:rsid w:val="35BF1FB9"/>
    <w:rsid w:val="35DD414C"/>
    <w:rsid w:val="35DF4003"/>
    <w:rsid w:val="35E574C0"/>
    <w:rsid w:val="361B5B4E"/>
    <w:rsid w:val="361D3657"/>
    <w:rsid w:val="36233F9D"/>
    <w:rsid w:val="364C3796"/>
    <w:rsid w:val="364D066D"/>
    <w:rsid w:val="36772774"/>
    <w:rsid w:val="368215FE"/>
    <w:rsid w:val="36B25143"/>
    <w:rsid w:val="36CF347B"/>
    <w:rsid w:val="371A59E1"/>
    <w:rsid w:val="377F12BF"/>
    <w:rsid w:val="37816F94"/>
    <w:rsid w:val="37A01A64"/>
    <w:rsid w:val="37BA4F22"/>
    <w:rsid w:val="37E03E2C"/>
    <w:rsid w:val="37F00424"/>
    <w:rsid w:val="3806295D"/>
    <w:rsid w:val="380E0584"/>
    <w:rsid w:val="3812280E"/>
    <w:rsid w:val="381B7B44"/>
    <w:rsid w:val="38391966"/>
    <w:rsid w:val="383A48CB"/>
    <w:rsid w:val="383B152D"/>
    <w:rsid w:val="385333AC"/>
    <w:rsid w:val="38A464F9"/>
    <w:rsid w:val="38AC3066"/>
    <w:rsid w:val="38AC436C"/>
    <w:rsid w:val="38BF0F3E"/>
    <w:rsid w:val="38C95ED9"/>
    <w:rsid w:val="38CA300C"/>
    <w:rsid w:val="38D06594"/>
    <w:rsid w:val="38E060F1"/>
    <w:rsid w:val="38FC7121"/>
    <w:rsid w:val="39003390"/>
    <w:rsid w:val="39010974"/>
    <w:rsid w:val="3907079C"/>
    <w:rsid w:val="393F7622"/>
    <w:rsid w:val="395808CD"/>
    <w:rsid w:val="39610D3F"/>
    <w:rsid w:val="396A7C09"/>
    <w:rsid w:val="39740471"/>
    <w:rsid w:val="39742AB8"/>
    <w:rsid w:val="39AC6F0D"/>
    <w:rsid w:val="39D15C66"/>
    <w:rsid w:val="39E07088"/>
    <w:rsid w:val="39F17820"/>
    <w:rsid w:val="39F4516C"/>
    <w:rsid w:val="3A130B99"/>
    <w:rsid w:val="3A1741DD"/>
    <w:rsid w:val="3A202475"/>
    <w:rsid w:val="3A235A71"/>
    <w:rsid w:val="3A394901"/>
    <w:rsid w:val="3A3C5316"/>
    <w:rsid w:val="3A4058BF"/>
    <w:rsid w:val="3A4F4676"/>
    <w:rsid w:val="3A5F45D1"/>
    <w:rsid w:val="3A8227E5"/>
    <w:rsid w:val="3AB013BF"/>
    <w:rsid w:val="3AB6148B"/>
    <w:rsid w:val="3AB82B8A"/>
    <w:rsid w:val="3AD7234B"/>
    <w:rsid w:val="3ADE1AD5"/>
    <w:rsid w:val="3AE56805"/>
    <w:rsid w:val="3B132590"/>
    <w:rsid w:val="3B5847E9"/>
    <w:rsid w:val="3B8F407A"/>
    <w:rsid w:val="3BA60B93"/>
    <w:rsid w:val="3BB616DF"/>
    <w:rsid w:val="3BD21E54"/>
    <w:rsid w:val="3BF3026A"/>
    <w:rsid w:val="3C0A10A8"/>
    <w:rsid w:val="3C125364"/>
    <w:rsid w:val="3C1F0FD1"/>
    <w:rsid w:val="3C2351B6"/>
    <w:rsid w:val="3C444AF5"/>
    <w:rsid w:val="3C4D3897"/>
    <w:rsid w:val="3C4D6F59"/>
    <w:rsid w:val="3C5E539B"/>
    <w:rsid w:val="3C630A5B"/>
    <w:rsid w:val="3C7269E9"/>
    <w:rsid w:val="3CC330F6"/>
    <w:rsid w:val="3CC50422"/>
    <w:rsid w:val="3CC63F65"/>
    <w:rsid w:val="3CC86FC9"/>
    <w:rsid w:val="3CCB46CA"/>
    <w:rsid w:val="3D0972EB"/>
    <w:rsid w:val="3D2F43EF"/>
    <w:rsid w:val="3D41092A"/>
    <w:rsid w:val="3D68584E"/>
    <w:rsid w:val="3D6C3C45"/>
    <w:rsid w:val="3D764B63"/>
    <w:rsid w:val="3D9A7321"/>
    <w:rsid w:val="3D9C48F8"/>
    <w:rsid w:val="3DA2472E"/>
    <w:rsid w:val="3DAA2473"/>
    <w:rsid w:val="3E2357D8"/>
    <w:rsid w:val="3E315296"/>
    <w:rsid w:val="3E507BFC"/>
    <w:rsid w:val="3E515C8A"/>
    <w:rsid w:val="3E596005"/>
    <w:rsid w:val="3E833A1C"/>
    <w:rsid w:val="3E9F7AC9"/>
    <w:rsid w:val="3EA93C5B"/>
    <w:rsid w:val="3EAD5512"/>
    <w:rsid w:val="3ED5179E"/>
    <w:rsid w:val="3ED573B0"/>
    <w:rsid w:val="3EE06334"/>
    <w:rsid w:val="3EFA70D2"/>
    <w:rsid w:val="3EFE53C3"/>
    <w:rsid w:val="3F1832CF"/>
    <w:rsid w:val="3F274589"/>
    <w:rsid w:val="3F302C3B"/>
    <w:rsid w:val="3F4773CE"/>
    <w:rsid w:val="3F527AF1"/>
    <w:rsid w:val="3F65460E"/>
    <w:rsid w:val="3F742B12"/>
    <w:rsid w:val="3F7519AD"/>
    <w:rsid w:val="3F896B4D"/>
    <w:rsid w:val="3F9A4869"/>
    <w:rsid w:val="3FA4756D"/>
    <w:rsid w:val="3FC578AB"/>
    <w:rsid w:val="3FC77C56"/>
    <w:rsid w:val="3FCC7236"/>
    <w:rsid w:val="3FCF5C3C"/>
    <w:rsid w:val="3FCF65FA"/>
    <w:rsid w:val="3FE04933"/>
    <w:rsid w:val="3FE17441"/>
    <w:rsid w:val="3FEB4308"/>
    <w:rsid w:val="3FF567C8"/>
    <w:rsid w:val="400F1DB6"/>
    <w:rsid w:val="40185137"/>
    <w:rsid w:val="402F14D9"/>
    <w:rsid w:val="40477AD1"/>
    <w:rsid w:val="405B2D35"/>
    <w:rsid w:val="406608CC"/>
    <w:rsid w:val="406C1FA6"/>
    <w:rsid w:val="407630B7"/>
    <w:rsid w:val="407B0128"/>
    <w:rsid w:val="407E43D4"/>
    <w:rsid w:val="40902190"/>
    <w:rsid w:val="40BC60FB"/>
    <w:rsid w:val="40D75D3F"/>
    <w:rsid w:val="40E42E0D"/>
    <w:rsid w:val="40F8192B"/>
    <w:rsid w:val="41220CAF"/>
    <w:rsid w:val="412E4991"/>
    <w:rsid w:val="413A56F6"/>
    <w:rsid w:val="4165249F"/>
    <w:rsid w:val="418A6E14"/>
    <w:rsid w:val="41A27872"/>
    <w:rsid w:val="41AC2313"/>
    <w:rsid w:val="41BB44E3"/>
    <w:rsid w:val="41C50675"/>
    <w:rsid w:val="41F47D3B"/>
    <w:rsid w:val="420559B3"/>
    <w:rsid w:val="423773BA"/>
    <w:rsid w:val="42386C01"/>
    <w:rsid w:val="423A336B"/>
    <w:rsid w:val="4252254E"/>
    <w:rsid w:val="425B59EA"/>
    <w:rsid w:val="425D2BCC"/>
    <w:rsid w:val="42937CAF"/>
    <w:rsid w:val="4298644F"/>
    <w:rsid w:val="42AD2B71"/>
    <w:rsid w:val="42BC56D0"/>
    <w:rsid w:val="430168B8"/>
    <w:rsid w:val="430C159E"/>
    <w:rsid w:val="431C0FD8"/>
    <w:rsid w:val="432C69BC"/>
    <w:rsid w:val="4377327F"/>
    <w:rsid w:val="43904469"/>
    <w:rsid w:val="43933CA0"/>
    <w:rsid w:val="43A82FD5"/>
    <w:rsid w:val="43B91DAA"/>
    <w:rsid w:val="43C83510"/>
    <w:rsid w:val="43DC4746"/>
    <w:rsid w:val="44081F09"/>
    <w:rsid w:val="440A2F83"/>
    <w:rsid w:val="441901BE"/>
    <w:rsid w:val="445C5D26"/>
    <w:rsid w:val="446E1F07"/>
    <w:rsid w:val="448B2102"/>
    <w:rsid w:val="449900F5"/>
    <w:rsid w:val="449935F1"/>
    <w:rsid w:val="44A4522B"/>
    <w:rsid w:val="44B17003"/>
    <w:rsid w:val="451F55A0"/>
    <w:rsid w:val="45210077"/>
    <w:rsid w:val="453C7D64"/>
    <w:rsid w:val="453F7628"/>
    <w:rsid w:val="45403E4D"/>
    <w:rsid w:val="454050A9"/>
    <w:rsid w:val="45407AB5"/>
    <w:rsid w:val="45667082"/>
    <w:rsid w:val="459704A1"/>
    <w:rsid w:val="45A50F46"/>
    <w:rsid w:val="45B11EE5"/>
    <w:rsid w:val="45B95841"/>
    <w:rsid w:val="45DA3724"/>
    <w:rsid w:val="45FA6EE8"/>
    <w:rsid w:val="461D4A97"/>
    <w:rsid w:val="46513FED"/>
    <w:rsid w:val="4689127A"/>
    <w:rsid w:val="468C02FD"/>
    <w:rsid w:val="469446D6"/>
    <w:rsid w:val="469A39EA"/>
    <w:rsid w:val="46AB2646"/>
    <w:rsid w:val="46B01C29"/>
    <w:rsid w:val="46CA1E85"/>
    <w:rsid w:val="46E37D9E"/>
    <w:rsid w:val="46EE42DF"/>
    <w:rsid w:val="46FE3D85"/>
    <w:rsid w:val="470C633F"/>
    <w:rsid w:val="47271E3C"/>
    <w:rsid w:val="47372735"/>
    <w:rsid w:val="475F0927"/>
    <w:rsid w:val="47AB7402"/>
    <w:rsid w:val="47AC276C"/>
    <w:rsid w:val="47AD05EC"/>
    <w:rsid w:val="47E24779"/>
    <w:rsid w:val="47FD0920"/>
    <w:rsid w:val="48141AAF"/>
    <w:rsid w:val="481B3258"/>
    <w:rsid w:val="482728EE"/>
    <w:rsid w:val="483C715F"/>
    <w:rsid w:val="483F0D04"/>
    <w:rsid w:val="485830BD"/>
    <w:rsid w:val="485C3C19"/>
    <w:rsid w:val="488D33C5"/>
    <w:rsid w:val="489E3831"/>
    <w:rsid w:val="48B71159"/>
    <w:rsid w:val="48CB3FD3"/>
    <w:rsid w:val="48CB4F91"/>
    <w:rsid w:val="48E13ECD"/>
    <w:rsid w:val="48EB1726"/>
    <w:rsid w:val="48FF78DE"/>
    <w:rsid w:val="49242E99"/>
    <w:rsid w:val="494F29A1"/>
    <w:rsid w:val="49675974"/>
    <w:rsid w:val="49756946"/>
    <w:rsid w:val="497C7168"/>
    <w:rsid w:val="4995475C"/>
    <w:rsid w:val="49A43C34"/>
    <w:rsid w:val="49B13DF0"/>
    <w:rsid w:val="49C31FA6"/>
    <w:rsid w:val="49C60D15"/>
    <w:rsid w:val="49D81C0B"/>
    <w:rsid w:val="49E4194A"/>
    <w:rsid w:val="49EE7CDB"/>
    <w:rsid w:val="4A0C3A08"/>
    <w:rsid w:val="4A0D0548"/>
    <w:rsid w:val="4A2C42CD"/>
    <w:rsid w:val="4A314DD7"/>
    <w:rsid w:val="4A333BC5"/>
    <w:rsid w:val="4A3D6D7D"/>
    <w:rsid w:val="4A5374A0"/>
    <w:rsid w:val="4A581909"/>
    <w:rsid w:val="4A5E3812"/>
    <w:rsid w:val="4A67017F"/>
    <w:rsid w:val="4A81724A"/>
    <w:rsid w:val="4A9021DB"/>
    <w:rsid w:val="4A9E67FA"/>
    <w:rsid w:val="4AB873A4"/>
    <w:rsid w:val="4AD658D5"/>
    <w:rsid w:val="4AD94078"/>
    <w:rsid w:val="4AEE52AC"/>
    <w:rsid w:val="4AF41787"/>
    <w:rsid w:val="4B0444D9"/>
    <w:rsid w:val="4B13279D"/>
    <w:rsid w:val="4B5936AA"/>
    <w:rsid w:val="4B5C462F"/>
    <w:rsid w:val="4B5D1EF4"/>
    <w:rsid w:val="4B5F55B3"/>
    <w:rsid w:val="4B6D0492"/>
    <w:rsid w:val="4B745E42"/>
    <w:rsid w:val="4B8735C1"/>
    <w:rsid w:val="4B8F2DC3"/>
    <w:rsid w:val="4B9E091B"/>
    <w:rsid w:val="4BCF496E"/>
    <w:rsid w:val="4BDC08AD"/>
    <w:rsid w:val="4BED4D12"/>
    <w:rsid w:val="4BF34CE1"/>
    <w:rsid w:val="4BFE5090"/>
    <w:rsid w:val="4C11306C"/>
    <w:rsid w:val="4C147D69"/>
    <w:rsid w:val="4C2C1484"/>
    <w:rsid w:val="4C2E470A"/>
    <w:rsid w:val="4C3327C1"/>
    <w:rsid w:val="4C49505E"/>
    <w:rsid w:val="4C4B1E3A"/>
    <w:rsid w:val="4C5C7BFB"/>
    <w:rsid w:val="4C632C63"/>
    <w:rsid w:val="4C8338E1"/>
    <w:rsid w:val="4CA45A05"/>
    <w:rsid w:val="4CB13156"/>
    <w:rsid w:val="4CC976B2"/>
    <w:rsid w:val="4CE40C32"/>
    <w:rsid w:val="4CE71BB7"/>
    <w:rsid w:val="4D22443E"/>
    <w:rsid w:val="4D2401EC"/>
    <w:rsid w:val="4D316B33"/>
    <w:rsid w:val="4D321DC9"/>
    <w:rsid w:val="4D590BF1"/>
    <w:rsid w:val="4D68550E"/>
    <w:rsid w:val="4D6B1F05"/>
    <w:rsid w:val="4D8718F8"/>
    <w:rsid w:val="4D8D402F"/>
    <w:rsid w:val="4DA9749E"/>
    <w:rsid w:val="4DBC1DFB"/>
    <w:rsid w:val="4DBD4199"/>
    <w:rsid w:val="4DC12B9F"/>
    <w:rsid w:val="4DD36A02"/>
    <w:rsid w:val="4DE44058"/>
    <w:rsid w:val="4DE4442C"/>
    <w:rsid w:val="4E0D0A85"/>
    <w:rsid w:val="4E100AB2"/>
    <w:rsid w:val="4E233B3D"/>
    <w:rsid w:val="4E8D4700"/>
    <w:rsid w:val="4EA07AD7"/>
    <w:rsid w:val="4EBD3D3C"/>
    <w:rsid w:val="4EF07430"/>
    <w:rsid w:val="4F0831DA"/>
    <w:rsid w:val="4F0B36E6"/>
    <w:rsid w:val="4F3E6166"/>
    <w:rsid w:val="4F5178A3"/>
    <w:rsid w:val="4F6B7BEA"/>
    <w:rsid w:val="4F7C649E"/>
    <w:rsid w:val="4F8667E6"/>
    <w:rsid w:val="4F9767CF"/>
    <w:rsid w:val="4FAB0DF3"/>
    <w:rsid w:val="4FB41285"/>
    <w:rsid w:val="4FD458D2"/>
    <w:rsid w:val="4FDE7EBA"/>
    <w:rsid w:val="501036E9"/>
    <w:rsid w:val="50213603"/>
    <w:rsid w:val="503B6F74"/>
    <w:rsid w:val="50480956"/>
    <w:rsid w:val="5056123F"/>
    <w:rsid w:val="505704B3"/>
    <w:rsid w:val="50591045"/>
    <w:rsid w:val="508558A6"/>
    <w:rsid w:val="508779D5"/>
    <w:rsid w:val="5088682A"/>
    <w:rsid w:val="508C2CB2"/>
    <w:rsid w:val="50997DCA"/>
    <w:rsid w:val="50B6517B"/>
    <w:rsid w:val="50F04F55"/>
    <w:rsid w:val="512A3E35"/>
    <w:rsid w:val="51413A5A"/>
    <w:rsid w:val="514D4018"/>
    <w:rsid w:val="51596572"/>
    <w:rsid w:val="517F4BC4"/>
    <w:rsid w:val="51A20030"/>
    <w:rsid w:val="51A73B0A"/>
    <w:rsid w:val="51C407B0"/>
    <w:rsid w:val="51CB0037"/>
    <w:rsid w:val="522A39D8"/>
    <w:rsid w:val="52435C07"/>
    <w:rsid w:val="524C6970"/>
    <w:rsid w:val="52530420"/>
    <w:rsid w:val="525D670B"/>
    <w:rsid w:val="526A0AB7"/>
    <w:rsid w:val="52763594"/>
    <w:rsid w:val="52783AA3"/>
    <w:rsid w:val="528470A4"/>
    <w:rsid w:val="528F1A18"/>
    <w:rsid w:val="52904000"/>
    <w:rsid w:val="52C65B54"/>
    <w:rsid w:val="52C737F3"/>
    <w:rsid w:val="52EC1C76"/>
    <w:rsid w:val="53186EE4"/>
    <w:rsid w:val="5339007E"/>
    <w:rsid w:val="535C76C6"/>
    <w:rsid w:val="53637DCA"/>
    <w:rsid w:val="537257C5"/>
    <w:rsid w:val="53A157B9"/>
    <w:rsid w:val="53B85768"/>
    <w:rsid w:val="53BA2E6A"/>
    <w:rsid w:val="53C33CD8"/>
    <w:rsid w:val="53C43BC7"/>
    <w:rsid w:val="53D61973"/>
    <w:rsid w:val="53DF5628"/>
    <w:rsid w:val="53F6304F"/>
    <w:rsid w:val="5425031B"/>
    <w:rsid w:val="54534028"/>
    <w:rsid w:val="54537B65"/>
    <w:rsid w:val="545E27DF"/>
    <w:rsid w:val="54843BB7"/>
    <w:rsid w:val="54FB4AFB"/>
    <w:rsid w:val="55402408"/>
    <w:rsid w:val="55413F6A"/>
    <w:rsid w:val="5553267F"/>
    <w:rsid w:val="55584384"/>
    <w:rsid w:val="555A26FB"/>
    <w:rsid w:val="5570591E"/>
    <w:rsid w:val="55934C35"/>
    <w:rsid w:val="559B18F9"/>
    <w:rsid w:val="55A84C13"/>
    <w:rsid w:val="55E8288A"/>
    <w:rsid w:val="55F310CC"/>
    <w:rsid w:val="55F70216"/>
    <w:rsid w:val="563D4EBF"/>
    <w:rsid w:val="565A2562"/>
    <w:rsid w:val="565B7F3A"/>
    <w:rsid w:val="5665084A"/>
    <w:rsid w:val="56834D00"/>
    <w:rsid w:val="568432FD"/>
    <w:rsid w:val="568C4C53"/>
    <w:rsid w:val="569430D1"/>
    <w:rsid w:val="56945527"/>
    <w:rsid w:val="56A207E4"/>
    <w:rsid w:val="56A516E6"/>
    <w:rsid w:val="56B860D6"/>
    <w:rsid w:val="56CE49F6"/>
    <w:rsid w:val="56D47B48"/>
    <w:rsid w:val="56DF623F"/>
    <w:rsid w:val="56E53A8A"/>
    <w:rsid w:val="56ED74A9"/>
    <w:rsid w:val="56F15EAF"/>
    <w:rsid w:val="57004BF9"/>
    <w:rsid w:val="57015B11"/>
    <w:rsid w:val="57297E4C"/>
    <w:rsid w:val="573F1832"/>
    <w:rsid w:val="574511BD"/>
    <w:rsid w:val="574D2D46"/>
    <w:rsid w:val="57535F58"/>
    <w:rsid w:val="57540152"/>
    <w:rsid w:val="57600C19"/>
    <w:rsid w:val="576A410C"/>
    <w:rsid w:val="57851FA6"/>
    <w:rsid w:val="578B60AE"/>
    <w:rsid w:val="57B8020A"/>
    <w:rsid w:val="57D10DA1"/>
    <w:rsid w:val="580C7901"/>
    <w:rsid w:val="58160449"/>
    <w:rsid w:val="582721E3"/>
    <w:rsid w:val="583D1F4B"/>
    <w:rsid w:val="5841015B"/>
    <w:rsid w:val="5860518C"/>
    <w:rsid w:val="586256A7"/>
    <w:rsid w:val="58840844"/>
    <w:rsid w:val="589C3163"/>
    <w:rsid w:val="58A310F9"/>
    <w:rsid w:val="58A42014"/>
    <w:rsid w:val="58D91F55"/>
    <w:rsid w:val="58E53F4D"/>
    <w:rsid w:val="59144198"/>
    <w:rsid w:val="59456704"/>
    <w:rsid w:val="5950021B"/>
    <w:rsid w:val="59502516"/>
    <w:rsid w:val="5955281D"/>
    <w:rsid w:val="59A26A9D"/>
    <w:rsid w:val="59B014A3"/>
    <w:rsid w:val="59B05DB3"/>
    <w:rsid w:val="59D04D4F"/>
    <w:rsid w:val="59D51EEC"/>
    <w:rsid w:val="59DA6BF7"/>
    <w:rsid w:val="59E37225"/>
    <w:rsid w:val="5A0C6784"/>
    <w:rsid w:val="5A2921FA"/>
    <w:rsid w:val="5A4B01B0"/>
    <w:rsid w:val="5A4B611D"/>
    <w:rsid w:val="5A4D3444"/>
    <w:rsid w:val="5A5C0A61"/>
    <w:rsid w:val="5A682201"/>
    <w:rsid w:val="5A6F65C2"/>
    <w:rsid w:val="5A8B4626"/>
    <w:rsid w:val="5AA453D4"/>
    <w:rsid w:val="5AA7449C"/>
    <w:rsid w:val="5AB4402F"/>
    <w:rsid w:val="5AEA1628"/>
    <w:rsid w:val="5AF63138"/>
    <w:rsid w:val="5AF7549A"/>
    <w:rsid w:val="5B141A61"/>
    <w:rsid w:val="5B1E6E24"/>
    <w:rsid w:val="5B2118F7"/>
    <w:rsid w:val="5B4C1057"/>
    <w:rsid w:val="5B603D7C"/>
    <w:rsid w:val="5BD777E6"/>
    <w:rsid w:val="5C122D5E"/>
    <w:rsid w:val="5C330BCF"/>
    <w:rsid w:val="5C733038"/>
    <w:rsid w:val="5C737D2C"/>
    <w:rsid w:val="5C7E6E4B"/>
    <w:rsid w:val="5C817DEC"/>
    <w:rsid w:val="5C8F2968"/>
    <w:rsid w:val="5C9A2097"/>
    <w:rsid w:val="5CAB6A15"/>
    <w:rsid w:val="5CAC7202"/>
    <w:rsid w:val="5CB26DE8"/>
    <w:rsid w:val="5CCD1C5F"/>
    <w:rsid w:val="5CE738DA"/>
    <w:rsid w:val="5CF1718A"/>
    <w:rsid w:val="5D1B7965"/>
    <w:rsid w:val="5D365596"/>
    <w:rsid w:val="5D446203"/>
    <w:rsid w:val="5D476B7B"/>
    <w:rsid w:val="5D52647E"/>
    <w:rsid w:val="5D5668B3"/>
    <w:rsid w:val="5D6C32DC"/>
    <w:rsid w:val="5D8C1586"/>
    <w:rsid w:val="5D8F380B"/>
    <w:rsid w:val="5D906018"/>
    <w:rsid w:val="5D911291"/>
    <w:rsid w:val="5D9A6C97"/>
    <w:rsid w:val="5D9B7BB6"/>
    <w:rsid w:val="5DA452EC"/>
    <w:rsid w:val="5DB67994"/>
    <w:rsid w:val="5DC0655D"/>
    <w:rsid w:val="5DE35818"/>
    <w:rsid w:val="5DEA5196"/>
    <w:rsid w:val="5DFB71CE"/>
    <w:rsid w:val="5E3E5798"/>
    <w:rsid w:val="5E7B3AF8"/>
    <w:rsid w:val="5E8A14A9"/>
    <w:rsid w:val="5E952F92"/>
    <w:rsid w:val="5EAA1E1F"/>
    <w:rsid w:val="5EC41684"/>
    <w:rsid w:val="5EDB3C26"/>
    <w:rsid w:val="5F1C698C"/>
    <w:rsid w:val="5F2E10CF"/>
    <w:rsid w:val="5F393BBF"/>
    <w:rsid w:val="5F503E46"/>
    <w:rsid w:val="5F5825D3"/>
    <w:rsid w:val="5F6B6599"/>
    <w:rsid w:val="5FB07830"/>
    <w:rsid w:val="5FB15CCE"/>
    <w:rsid w:val="5FD149C5"/>
    <w:rsid w:val="5FD501C7"/>
    <w:rsid w:val="5FE71C0A"/>
    <w:rsid w:val="600B0C58"/>
    <w:rsid w:val="600B2AA4"/>
    <w:rsid w:val="600D74F7"/>
    <w:rsid w:val="60195438"/>
    <w:rsid w:val="601A2EBA"/>
    <w:rsid w:val="60261E8C"/>
    <w:rsid w:val="6028529C"/>
    <w:rsid w:val="605C6A77"/>
    <w:rsid w:val="607A0954"/>
    <w:rsid w:val="60843A2C"/>
    <w:rsid w:val="608E3C91"/>
    <w:rsid w:val="60990088"/>
    <w:rsid w:val="60A3539C"/>
    <w:rsid w:val="60AC022A"/>
    <w:rsid w:val="60D11363"/>
    <w:rsid w:val="60D47226"/>
    <w:rsid w:val="60E46266"/>
    <w:rsid w:val="60E63CC9"/>
    <w:rsid w:val="61277B74"/>
    <w:rsid w:val="61336954"/>
    <w:rsid w:val="616748AA"/>
    <w:rsid w:val="61886913"/>
    <w:rsid w:val="619929B6"/>
    <w:rsid w:val="61AF068E"/>
    <w:rsid w:val="61BF76A4"/>
    <w:rsid w:val="61D07906"/>
    <w:rsid w:val="61E345CA"/>
    <w:rsid w:val="61E736CF"/>
    <w:rsid w:val="621351F3"/>
    <w:rsid w:val="624F51AE"/>
    <w:rsid w:val="628864B6"/>
    <w:rsid w:val="62A65A66"/>
    <w:rsid w:val="62AC7F1A"/>
    <w:rsid w:val="62B824EE"/>
    <w:rsid w:val="62E23692"/>
    <w:rsid w:val="63005D66"/>
    <w:rsid w:val="63141638"/>
    <w:rsid w:val="631A6403"/>
    <w:rsid w:val="63284D3B"/>
    <w:rsid w:val="632C533B"/>
    <w:rsid w:val="634D4E90"/>
    <w:rsid w:val="63501369"/>
    <w:rsid w:val="6366242A"/>
    <w:rsid w:val="63901267"/>
    <w:rsid w:val="639C2AFB"/>
    <w:rsid w:val="63AA7CFC"/>
    <w:rsid w:val="63AB5173"/>
    <w:rsid w:val="63B333D8"/>
    <w:rsid w:val="63B91F59"/>
    <w:rsid w:val="63BF116F"/>
    <w:rsid w:val="63CA5BF8"/>
    <w:rsid w:val="63D30A57"/>
    <w:rsid w:val="63D8165B"/>
    <w:rsid w:val="63E35EEA"/>
    <w:rsid w:val="63ED31C7"/>
    <w:rsid w:val="63F1154B"/>
    <w:rsid w:val="64362CFA"/>
    <w:rsid w:val="64404966"/>
    <w:rsid w:val="64860B5E"/>
    <w:rsid w:val="64B557C6"/>
    <w:rsid w:val="64C762EE"/>
    <w:rsid w:val="64C8331B"/>
    <w:rsid w:val="6505464C"/>
    <w:rsid w:val="650F715A"/>
    <w:rsid w:val="65277BFE"/>
    <w:rsid w:val="65355B53"/>
    <w:rsid w:val="65445B42"/>
    <w:rsid w:val="655C775B"/>
    <w:rsid w:val="656C74F3"/>
    <w:rsid w:val="659F0576"/>
    <w:rsid w:val="65A8552E"/>
    <w:rsid w:val="65BB257E"/>
    <w:rsid w:val="65C378B1"/>
    <w:rsid w:val="65C80BBC"/>
    <w:rsid w:val="65CF1796"/>
    <w:rsid w:val="65E22210"/>
    <w:rsid w:val="65F168CB"/>
    <w:rsid w:val="660D4525"/>
    <w:rsid w:val="6619508D"/>
    <w:rsid w:val="66286A28"/>
    <w:rsid w:val="662A1F2E"/>
    <w:rsid w:val="662F5033"/>
    <w:rsid w:val="663102DF"/>
    <w:rsid w:val="663C0111"/>
    <w:rsid w:val="664E2E3C"/>
    <w:rsid w:val="66555272"/>
    <w:rsid w:val="6666770B"/>
    <w:rsid w:val="667C0A4F"/>
    <w:rsid w:val="66A97BAD"/>
    <w:rsid w:val="66AB5F44"/>
    <w:rsid w:val="66BE083C"/>
    <w:rsid w:val="66C571A0"/>
    <w:rsid w:val="6713640E"/>
    <w:rsid w:val="673335DC"/>
    <w:rsid w:val="678D29F1"/>
    <w:rsid w:val="678E0472"/>
    <w:rsid w:val="67940B85"/>
    <w:rsid w:val="67976B83"/>
    <w:rsid w:val="67A40D91"/>
    <w:rsid w:val="67AD7C40"/>
    <w:rsid w:val="67DC52AF"/>
    <w:rsid w:val="67EB4E2E"/>
    <w:rsid w:val="67FB2D76"/>
    <w:rsid w:val="68014F5D"/>
    <w:rsid w:val="680F1CC5"/>
    <w:rsid w:val="6819213A"/>
    <w:rsid w:val="681D772A"/>
    <w:rsid w:val="687B4BF8"/>
    <w:rsid w:val="688504B1"/>
    <w:rsid w:val="688F307D"/>
    <w:rsid w:val="689D333D"/>
    <w:rsid w:val="68B85685"/>
    <w:rsid w:val="68DC3063"/>
    <w:rsid w:val="68E1201D"/>
    <w:rsid w:val="68EC0422"/>
    <w:rsid w:val="6923694C"/>
    <w:rsid w:val="69241843"/>
    <w:rsid w:val="695D1FE3"/>
    <w:rsid w:val="696714E2"/>
    <w:rsid w:val="6969738E"/>
    <w:rsid w:val="69725190"/>
    <w:rsid w:val="697A1E70"/>
    <w:rsid w:val="69840D94"/>
    <w:rsid w:val="698A6FB3"/>
    <w:rsid w:val="69966649"/>
    <w:rsid w:val="69DE4130"/>
    <w:rsid w:val="6A0016F1"/>
    <w:rsid w:val="6A7449B2"/>
    <w:rsid w:val="6A9929F4"/>
    <w:rsid w:val="6ACA31B7"/>
    <w:rsid w:val="6ACB2E33"/>
    <w:rsid w:val="6ACC52E9"/>
    <w:rsid w:val="6ACF763D"/>
    <w:rsid w:val="6AD63A5F"/>
    <w:rsid w:val="6ADE3A31"/>
    <w:rsid w:val="6AE01CC6"/>
    <w:rsid w:val="6AED54C5"/>
    <w:rsid w:val="6B2A231E"/>
    <w:rsid w:val="6B2E7664"/>
    <w:rsid w:val="6B586ED0"/>
    <w:rsid w:val="6B940900"/>
    <w:rsid w:val="6B9659D1"/>
    <w:rsid w:val="6B992596"/>
    <w:rsid w:val="6BA40927"/>
    <w:rsid w:val="6BAC5136"/>
    <w:rsid w:val="6BB37DB8"/>
    <w:rsid w:val="6BBC4E35"/>
    <w:rsid w:val="6BC37142"/>
    <w:rsid w:val="6BC859EC"/>
    <w:rsid w:val="6BCB1147"/>
    <w:rsid w:val="6BF16ADA"/>
    <w:rsid w:val="6C0B4072"/>
    <w:rsid w:val="6C105A58"/>
    <w:rsid w:val="6C1364EE"/>
    <w:rsid w:val="6C223623"/>
    <w:rsid w:val="6C2B3181"/>
    <w:rsid w:val="6CD00E99"/>
    <w:rsid w:val="6CEF2A56"/>
    <w:rsid w:val="6D1D2712"/>
    <w:rsid w:val="6D205895"/>
    <w:rsid w:val="6D711158"/>
    <w:rsid w:val="6D717C1E"/>
    <w:rsid w:val="6D7C7BAA"/>
    <w:rsid w:val="6D8433BC"/>
    <w:rsid w:val="6D8455BA"/>
    <w:rsid w:val="6D920153"/>
    <w:rsid w:val="6DA16A1C"/>
    <w:rsid w:val="6DA72D47"/>
    <w:rsid w:val="6DAF1C81"/>
    <w:rsid w:val="6DAF4A10"/>
    <w:rsid w:val="6DD250A5"/>
    <w:rsid w:val="6DE90B62"/>
    <w:rsid w:val="6E005087"/>
    <w:rsid w:val="6E025356"/>
    <w:rsid w:val="6E0E5A2B"/>
    <w:rsid w:val="6E2B203D"/>
    <w:rsid w:val="6E420B2D"/>
    <w:rsid w:val="6E4474A8"/>
    <w:rsid w:val="6E7521C9"/>
    <w:rsid w:val="6E7C3D78"/>
    <w:rsid w:val="6EA25D92"/>
    <w:rsid w:val="6EA51FEB"/>
    <w:rsid w:val="6EB754FC"/>
    <w:rsid w:val="6EBF447C"/>
    <w:rsid w:val="6ED07B75"/>
    <w:rsid w:val="6EF967A0"/>
    <w:rsid w:val="6EFD396C"/>
    <w:rsid w:val="6F0674FF"/>
    <w:rsid w:val="6F2F0E79"/>
    <w:rsid w:val="6F3F3691"/>
    <w:rsid w:val="6F49144D"/>
    <w:rsid w:val="6F8A5194"/>
    <w:rsid w:val="6F9A510E"/>
    <w:rsid w:val="6FA40E37"/>
    <w:rsid w:val="6FC05107"/>
    <w:rsid w:val="6FCB133A"/>
    <w:rsid w:val="6FEC122C"/>
    <w:rsid w:val="6FF35ED1"/>
    <w:rsid w:val="700B3C9A"/>
    <w:rsid w:val="700E3F90"/>
    <w:rsid w:val="702B4594"/>
    <w:rsid w:val="705169D2"/>
    <w:rsid w:val="705F3769"/>
    <w:rsid w:val="706E7C5A"/>
    <w:rsid w:val="70734988"/>
    <w:rsid w:val="709D4BC6"/>
    <w:rsid w:val="70A86CD7"/>
    <w:rsid w:val="70B712FE"/>
    <w:rsid w:val="70E7043C"/>
    <w:rsid w:val="70F80464"/>
    <w:rsid w:val="710160B5"/>
    <w:rsid w:val="71043090"/>
    <w:rsid w:val="71070547"/>
    <w:rsid w:val="71155816"/>
    <w:rsid w:val="712041AC"/>
    <w:rsid w:val="712B420C"/>
    <w:rsid w:val="712B4F43"/>
    <w:rsid w:val="713A694F"/>
    <w:rsid w:val="713C1E52"/>
    <w:rsid w:val="7140235F"/>
    <w:rsid w:val="7144725F"/>
    <w:rsid w:val="71633397"/>
    <w:rsid w:val="717133FA"/>
    <w:rsid w:val="717B0A3E"/>
    <w:rsid w:val="717D0177"/>
    <w:rsid w:val="71847F3E"/>
    <w:rsid w:val="71A053FA"/>
    <w:rsid w:val="71C139F6"/>
    <w:rsid w:val="71D12075"/>
    <w:rsid w:val="71DB0593"/>
    <w:rsid w:val="71F64B04"/>
    <w:rsid w:val="720A7028"/>
    <w:rsid w:val="721037CA"/>
    <w:rsid w:val="7216791F"/>
    <w:rsid w:val="722A4105"/>
    <w:rsid w:val="72527F77"/>
    <w:rsid w:val="72606732"/>
    <w:rsid w:val="726561BD"/>
    <w:rsid w:val="729A0EE0"/>
    <w:rsid w:val="72B41A3F"/>
    <w:rsid w:val="72BB4879"/>
    <w:rsid w:val="72BF6CA4"/>
    <w:rsid w:val="72C00DB2"/>
    <w:rsid w:val="72C309D4"/>
    <w:rsid w:val="73085C4E"/>
    <w:rsid w:val="733C2B39"/>
    <w:rsid w:val="73442E54"/>
    <w:rsid w:val="734B707A"/>
    <w:rsid w:val="735636FE"/>
    <w:rsid w:val="73610221"/>
    <w:rsid w:val="73616C5B"/>
    <w:rsid w:val="73923252"/>
    <w:rsid w:val="73A52ADB"/>
    <w:rsid w:val="73F04490"/>
    <w:rsid w:val="73FA64D3"/>
    <w:rsid w:val="740857E9"/>
    <w:rsid w:val="74230A74"/>
    <w:rsid w:val="74434489"/>
    <w:rsid w:val="74447BCC"/>
    <w:rsid w:val="744C388B"/>
    <w:rsid w:val="745154C4"/>
    <w:rsid w:val="74623260"/>
    <w:rsid w:val="7468238A"/>
    <w:rsid w:val="746D2F8F"/>
    <w:rsid w:val="747B3F9D"/>
    <w:rsid w:val="749651AF"/>
    <w:rsid w:val="749C4A3B"/>
    <w:rsid w:val="74AF290C"/>
    <w:rsid w:val="74C32DC7"/>
    <w:rsid w:val="74CF77B0"/>
    <w:rsid w:val="74D96DC8"/>
    <w:rsid w:val="74DE7873"/>
    <w:rsid w:val="74FF02FF"/>
    <w:rsid w:val="750D5096"/>
    <w:rsid w:val="752040A9"/>
    <w:rsid w:val="75291143"/>
    <w:rsid w:val="752F7911"/>
    <w:rsid w:val="753F0BF9"/>
    <w:rsid w:val="757E4BB2"/>
    <w:rsid w:val="75907AC8"/>
    <w:rsid w:val="759D11B8"/>
    <w:rsid w:val="75D72E5A"/>
    <w:rsid w:val="75E21BF7"/>
    <w:rsid w:val="75E50A31"/>
    <w:rsid w:val="75ED0276"/>
    <w:rsid w:val="75F60897"/>
    <w:rsid w:val="75FE5CA3"/>
    <w:rsid w:val="76090637"/>
    <w:rsid w:val="76134807"/>
    <w:rsid w:val="76272627"/>
    <w:rsid w:val="763273F7"/>
    <w:rsid w:val="765457D0"/>
    <w:rsid w:val="765F5DB9"/>
    <w:rsid w:val="76842C25"/>
    <w:rsid w:val="76B17A1D"/>
    <w:rsid w:val="76C912D5"/>
    <w:rsid w:val="76CD7DE2"/>
    <w:rsid w:val="76DE2D93"/>
    <w:rsid w:val="76EC3EE7"/>
    <w:rsid w:val="76ED04C8"/>
    <w:rsid w:val="76F31A34"/>
    <w:rsid w:val="76FB2D9B"/>
    <w:rsid w:val="76FF6603"/>
    <w:rsid w:val="770B638D"/>
    <w:rsid w:val="772911F0"/>
    <w:rsid w:val="773A73DD"/>
    <w:rsid w:val="77540EAB"/>
    <w:rsid w:val="775E4966"/>
    <w:rsid w:val="77720FB5"/>
    <w:rsid w:val="77760FFC"/>
    <w:rsid w:val="77CC63EB"/>
    <w:rsid w:val="77E34BBF"/>
    <w:rsid w:val="77EE514F"/>
    <w:rsid w:val="78342D62"/>
    <w:rsid w:val="7847671C"/>
    <w:rsid w:val="786A2128"/>
    <w:rsid w:val="787F5E0E"/>
    <w:rsid w:val="789A41C2"/>
    <w:rsid w:val="78AF300E"/>
    <w:rsid w:val="78B86A6C"/>
    <w:rsid w:val="78BD3A05"/>
    <w:rsid w:val="78CB70BB"/>
    <w:rsid w:val="78CC6D3B"/>
    <w:rsid w:val="78F557EF"/>
    <w:rsid w:val="79096BA0"/>
    <w:rsid w:val="790E678A"/>
    <w:rsid w:val="79276FF6"/>
    <w:rsid w:val="79283BD2"/>
    <w:rsid w:val="79444A26"/>
    <w:rsid w:val="795F0D60"/>
    <w:rsid w:val="79802062"/>
    <w:rsid w:val="79844074"/>
    <w:rsid w:val="79882CF2"/>
    <w:rsid w:val="798B5E75"/>
    <w:rsid w:val="799C12D1"/>
    <w:rsid w:val="79A15901"/>
    <w:rsid w:val="79D548EA"/>
    <w:rsid w:val="79DD070F"/>
    <w:rsid w:val="79F57AA2"/>
    <w:rsid w:val="7A024427"/>
    <w:rsid w:val="7A2902FC"/>
    <w:rsid w:val="7A543032"/>
    <w:rsid w:val="7A7747EC"/>
    <w:rsid w:val="7A883FEE"/>
    <w:rsid w:val="7AA51AE9"/>
    <w:rsid w:val="7AB93063"/>
    <w:rsid w:val="7ABF07F0"/>
    <w:rsid w:val="7ACD1F05"/>
    <w:rsid w:val="7ACF3A41"/>
    <w:rsid w:val="7B111CB9"/>
    <w:rsid w:val="7B3B0CF5"/>
    <w:rsid w:val="7B402043"/>
    <w:rsid w:val="7B587D8B"/>
    <w:rsid w:val="7B5F4AF6"/>
    <w:rsid w:val="7B6446E7"/>
    <w:rsid w:val="7B7421C6"/>
    <w:rsid w:val="7B897F9C"/>
    <w:rsid w:val="7B8B6C3F"/>
    <w:rsid w:val="7B974C50"/>
    <w:rsid w:val="7BBF0DE6"/>
    <w:rsid w:val="7BC94525"/>
    <w:rsid w:val="7BCA41A5"/>
    <w:rsid w:val="7BDE0036"/>
    <w:rsid w:val="7C0C42D3"/>
    <w:rsid w:val="7C2D09C7"/>
    <w:rsid w:val="7C420509"/>
    <w:rsid w:val="7C607F1C"/>
    <w:rsid w:val="7C853942"/>
    <w:rsid w:val="7CAA7097"/>
    <w:rsid w:val="7CBA3DB9"/>
    <w:rsid w:val="7CE615AE"/>
    <w:rsid w:val="7CEF733F"/>
    <w:rsid w:val="7CF96612"/>
    <w:rsid w:val="7D0261D9"/>
    <w:rsid w:val="7D296539"/>
    <w:rsid w:val="7D2A34EB"/>
    <w:rsid w:val="7D3014EE"/>
    <w:rsid w:val="7D4D65D6"/>
    <w:rsid w:val="7D5A7F7D"/>
    <w:rsid w:val="7D6361EF"/>
    <w:rsid w:val="7D696B90"/>
    <w:rsid w:val="7D6A3C51"/>
    <w:rsid w:val="7D80686A"/>
    <w:rsid w:val="7D9010A7"/>
    <w:rsid w:val="7D9646F1"/>
    <w:rsid w:val="7D983CB5"/>
    <w:rsid w:val="7DA13DAB"/>
    <w:rsid w:val="7DAC06B5"/>
    <w:rsid w:val="7DAE2712"/>
    <w:rsid w:val="7DB36FB1"/>
    <w:rsid w:val="7DB76B9E"/>
    <w:rsid w:val="7DDA72F8"/>
    <w:rsid w:val="7E3434E3"/>
    <w:rsid w:val="7E3E74AD"/>
    <w:rsid w:val="7E497A3C"/>
    <w:rsid w:val="7E4C58A3"/>
    <w:rsid w:val="7E5073C7"/>
    <w:rsid w:val="7E610386"/>
    <w:rsid w:val="7E7E34B2"/>
    <w:rsid w:val="7E9C40FF"/>
    <w:rsid w:val="7EAA45DE"/>
    <w:rsid w:val="7EC20180"/>
    <w:rsid w:val="7EC32A29"/>
    <w:rsid w:val="7ECC4429"/>
    <w:rsid w:val="7ED812E4"/>
    <w:rsid w:val="7EEE7388"/>
    <w:rsid w:val="7F0B337E"/>
    <w:rsid w:val="7F122D08"/>
    <w:rsid w:val="7F28568F"/>
    <w:rsid w:val="7F443A18"/>
    <w:rsid w:val="7F5501A0"/>
    <w:rsid w:val="7F5D4081"/>
    <w:rsid w:val="7F6B3D52"/>
    <w:rsid w:val="7F6F30A2"/>
    <w:rsid w:val="7F707D4F"/>
    <w:rsid w:val="7F7571AA"/>
    <w:rsid w:val="7F774559"/>
    <w:rsid w:val="7F7A63B3"/>
    <w:rsid w:val="7F8312AF"/>
    <w:rsid w:val="7F962F62"/>
    <w:rsid w:val="7FA87133"/>
    <w:rsid w:val="7FC049A5"/>
    <w:rsid w:val="7FD8724E"/>
    <w:rsid w:val="7FE1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2"/>
    <w:autoRedefine/>
    <w:qFormat/>
    <w:uiPriority w:val="9"/>
    <w:pPr>
      <w:keepNext/>
      <w:keepLines/>
      <w:spacing w:before="340" w:after="330" w:line="578" w:lineRule="auto"/>
      <w:outlineLvl w:val="0"/>
    </w:pPr>
    <w:rPr>
      <w:rFonts w:eastAsia="仿宋_GB2312"/>
      <w:b/>
      <w:bCs/>
      <w:kern w:val="44"/>
      <w:sz w:val="24"/>
      <w:szCs w:val="44"/>
    </w:rPr>
  </w:style>
  <w:style w:type="paragraph" w:styleId="2">
    <w:name w:val="heading 2"/>
    <w:basedOn w:val="1"/>
    <w:next w:val="1"/>
    <w:link w:val="31"/>
    <w:autoRedefine/>
    <w:unhideWhenUsed/>
    <w:qFormat/>
    <w:uiPriority w:val="9"/>
    <w:pPr>
      <w:keepNext/>
      <w:keepLines/>
      <w:spacing w:before="260" w:after="260" w:line="416" w:lineRule="auto"/>
      <w:outlineLvl w:val="1"/>
    </w:pPr>
    <w:rPr>
      <w:rFonts w:ascii="Cambria" w:hAnsi="Cambria" w:eastAsia="仿宋_GB2312"/>
      <w:b/>
      <w:bCs/>
      <w:sz w:val="30"/>
      <w:szCs w:val="32"/>
    </w:rPr>
  </w:style>
  <w:style w:type="paragraph" w:styleId="4">
    <w:name w:val="heading 3"/>
    <w:basedOn w:val="1"/>
    <w:next w:val="1"/>
    <w:link w:val="30"/>
    <w:autoRedefine/>
    <w:unhideWhenUsed/>
    <w:qFormat/>
    <w:uiPriority w:val="9"/>
    <w:pPr>
      <w:keepNext/>
      <w:keepLines/>
      <w:spacing w:before="260" w:after="260" w:line="416" w:lineRule="auto"/>
      <w:jc w:val="left"/>
      <w:outlineLvl w:val="2"/>
    </w:pPr>
    <w:rPr>
      <w:rFonts w:ascii="仿宋" w:hAnsi="仿宋" w:eastAsia="仿宋_GB2312"/>
      <w:bCs/>
      <w:sz w:val="28"/>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1"/>
    <w:rPr>
      <w:rFonts w:ascii="宋体" w:hAnsi="宋体" w:eastAsia="宋体" w:cs="宋体"/>
      <w:sz w:val="21"/>
      <w:szCs w:val="21"/>
      <w:lang w:val="zh-CN" w:eastAsia="zh-CN" w:bidi="zh-CN"/>
    </w:rPr>
  </w:style>
  <w:style w:type="paragraph" w:styleId="7">
    <w:name w:val="Body Text Indent"/>
    <w:basedOn w:val="1"/>
    <w:autoRedefine/>
    <w:qFormat/>
    <w:uiPriority w:val="0"/>
    <w:pPr>
      <w:tabs>
        <w:tab w:val="left" w:pos="992"/>
      </w:tabs>
      <w:ind w:firstLine="560" w:firstLineChars="200"/>
    </w:pPr>
  </w:style>
  <w:style w:type="paragraph" w:styleId="8">
    <w:name w:val="Plain Text"/>
    <w:autoRedefine/>
    <w:unhideWhenUsed/>
    <w:qFormat/>
    <w:uiPriority w:val="0"/>
    <w:rPr>
      <w:rFonts w:ascii="宋体" w:hAnsi="Courier New" w:eastAsia="宋体" w:cs="Times New Roman"/>
      <w:szCs w:val="21"/>
      <w:lang w:val="en-US" w:eastAsia="zh-CN" w:bidi="ar-SA"/>
    </w:rPr>
  </w:style>
  <w:style w:type="paragraph" w:styleId="9">
    <w:name w:val="Balloon Text"/>
    <w:basedOn w:val="1"/>
    <w:link w:val="29"/>
    <w:autoRedefine/>
    <w:unhideWhenUsed/>
    <w:qFormat/>
    <w:uiPriority w:val="99"/>
    <w:rPr>
      <w:sz w:val="18"/>
      <w:szCs w:val="18"/>
    </w:rPr>
  </w:style>
  <w:style w:type="paragraph" w:styleId="10">
    <w:name w:val="footer"/>
    <w:basedOn w:val="1"/>
    <w:link w:val="28"/>
    <w:autoRedefine/>
    <w:unhideWhenUsed/>
    <w:qFormat/>
    <w:uiPriority w:val="99"/>
    <w:pPr>
      <w:tabs>
        <w:tab w:val="center" w:pos="4153"/>
        <w:tab w:val="right" w:pos="8306"/>
      </w:tabs>
      <w:snapToGrid w:val="0"/>
      <w:jc w:val="left"/>
    </w:pPr>
    <w:rPr>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tabs>
        <w:tab w:val="left" w:pos="1050"/>
        <w:tab w:val="right" w:leader="dot" w:pos="8296"/>
      </w:tabs>
    </w:pPr>
  </w:style>
  <w:style w:type="paragraph" w:styleId="13">
    <w:name w:val="toc 2"/>
    <w:basedOn w:val="1"/>
    <w:next w:val="1"/>
    <w:autoRedefine/>
    <w:unhideWhenUsed/>
    <w:qFormat/>
    <w:uiPriority w:val="39"/>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12"/>
    <w:autoRedefine/>
    <w:semiHidden/>
    <w:qFormat/>
    <w:uiPriority w:val="0"/>
    <w:rPr>
      <w:b/>
      <w:bCs/>
    </w:rPr>
  </w:style>
  <w:style w:type="paragraph" w:styleId="16">
    <w:name w:val="Body Text First Indent 2"/>
    <w:basedOn w:val="7"/>
    <w:autoRedefine/>
    <w:qFormat/>
    <w:uiPriority w:val="0"/>
    <w:pPr>
      <w:spacing w:after="120"/>
      <w:ind w:left="420" w:leftChars="200" w:firstLine="420"/>
    </w:pPr>
    <w:rPr>
      <w:bCs/>
    </w:rPr>
  </w:style>
  <w:style w:type="table" w:styleId="18">
    <w:name w:val="Table Grid"/>
    <w:basedOn w:val="17"/>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autoRedefine/>
    <w:unhideWhenUsed/>
    <w:qFormat/>
    <w:uiPriority w:val="0"/>
  </w:style>
  <w:style w:type="character" w:styleId="21">
    <w:name w:val="Hyperlink"/>
    <w:autoRedefine/>
    <w:unhideWhenUsed/>
    <w:qFormat/>
    <w:uiPriority w:val="99"/>
    <w:rPr>
      <w:color w:val="0000FF"/>
      <w:u w:val="single"/>
    </w:rPr>
  </w:style>
  <w:style w:type="paragraph" w:customStyle="1" w:styleId="22">
    <w:name w:val="汇编标题1"/>
    <w:basedOn w:val="3"/>
    <w:next w:val="23"/>
    <w:autoRedefine/>
    <w:qFormat/>
    <w:uiPriority w:val="0"/>
    <w:pPr>
      <w:spacing w:beforeLines="100" w:afterLines="100" w:line="240" w:lineRule="auto"/>
      <w:jc w:val="center"/>
    </w:pPr>
    <w:rPr>
      <w:rFonts w:ascii="仿宋_GB2312" w:eastAsia="黑体"/>
      <w:bCs w:val="0"/>
      <w:kern w:val="0"/>
      <w:sz w:val="52"/>
      <w:szCs w:val="32"/>
      <w:lang w:val="zh-CN"/>
    </w:rPr>
  </w:style>
  <w:style w:type="paragraph" w:customStyle="1" w:styleId="23">
    <w:name w:val="汇编正文"/>
    <w:basedOn w:val="1"/>
    <w:next w:val="24"/>
    <w:autoRedefine/>
    <w:qFormat/>
    <w:uiPriority w:val="99"/>
    <w:pPr>
      <w:snapToGrid w:val="0"/>
      <w:spacing w:line="360" w:lineRule="atLeast"/>
    </w:pPr>
    <w:rPr>
      <w:color w:val="000000"/>
      <w:lang w:val="zh-CN"/>
    </w:rPr>
  </w:style>
  <w:style w:type="paragraph" w:customStyle="1" w:styleId="24">
    <w:name w:val="样式 标题 1 + 黑体 三号 非加粗 居中 段前: 6 磅 段后: 6 磅 行距: 固定值 20 磅"/>
    <w:basedOn w:val="3"/>
    <w:next w:val="15"/>
    <w:autoRedefine/>
    <w:qFormat/>
    <w:uiPriority w:val="0"/>
    <w:pPr>
      <w:spacing w:before="120" w:after="120" w:line="400" w:lineRule="exact"/>
      <w:jc w:val="center"/>
    </w:pPr>
    <w:rPr>
      <w:rFonts w:ascii="黑体" w:hAnsi="黑体" w:eastAsia="黑体" w:cs="宋体"/>
      <w:b w:val="0"/>
      <w:sz w:val="32"/>
      <w:szCs w:val="20"/>
    </w:rPr>
  </w:style>
  <w:style w:type="paragraph" w:customStyle="1" w:styleId="25">
    <w:name w:val="列出段落1"/>
    <w:basedOn w:val="1"/>
    <w:autoRedefine/>
    <w:qFormat/>
    <w:uiPriority w:val="34"/>
    <w:pPr>
      <w:ind w:firstLine="420" w:firstLineChars="200"/>
    </w:pPr>
  </w:style>
  <w:style w:type="paragraph" w:customStyle="1" w:styleId="26">
    <w:name w:val="TOC 标题1"/>
    <w:basedOn w:val="3"/>
    <w:next w:val="1"/>
    <w:autoRedefine/>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character" w:customStyle="1" w:styleId="27">
    <w:name w:val="页眉 Char"/>
    <w:link w:val="11"/>
    <w:autoRedefine/>
    <w:semiHidden/>
    <w:qFormat/>
    <w:uiPriority w:val="99"/>
    <w:rPr>
      <w:sz w:val="18"/>
      <w:szCs w:val="18"/>
    </w:rPr>
  </w:style>
  <w:style w:type="character" w:customStyle="1" w:styleId="28">
    <w:name w:val="页脚 Char"/>
    <w:link w:val="10"/>
    <w:autoRedefine/>
    <w:semiHidden/>
    <w:qFormat/>
    <w:uiPriority w:val="99"/>
    <w:rPr>
      <w:sz w:val="18"/>
      <w:szCs w:val="18"/>
    </w:rPr>
  </w:style>
  <w:style w:type="character" w:customStyle="1" w:styleId="29">
    <w:name w:val="批注框文本 Char"/>
    <w:link w:val="9"/>
    <w:autoRedefine/>
    <w:semiHidden/>
    <w:qFormat/>
    <w:uiPriority w:val="99"/>
    <w:rPr>
      <w:sz w:val="18"/>
      <w:szCs w:val="18"/>
    </w:rPr>
  </w:style>
  <w:style w:type="character" w:customStyle="1" w:styleId="30">
    <w:name w:val="标题 3 Char"/>
    <w:link w:val="4"/>
    <w:autoRedefine/>
    <w:qFormat/>
    <w:uiPriority w:val="9"/>
    <w:rPr>
      <w:rFonts w:ascii="仿宋" w:hAnsi="仿宋" w:eastAsia="仿宋_GB2312" w:cs="Times New Roman"/>
      <w:bCs/>
      <w:sz w:val="28"/>
      <w:szCs w:val="32"/>
    </w:rPr>
  </w:style>
  <w:style w:type="character" w:customStyle="1" w:styleId="31">
    <w:name w:val="标题 2 Char"/>
    <w:link w:val="2"/>
    <w:autoRedefine/>
    <w:qFormat/>
    <w:uiPriority w:val="9"/>
    <w:rPr>
      <w:rFonts w:ascii="Cambria" w:hAnsi="Cambria" w:eastAsia="仿宋_GB2312"/>
      <w:b/>
      <w:bCs/>
      <w:sz w:val="30"/>
      <w:szCs w:val="32"/>
    </w:rPr>
  </w:style>
  <w:style w:type="character" w:customStyle="1" w:styleId="32">
    <w:name w:val="标题 1 Char"/>
    <w:link w:val="3"/>
    <w:autoRedefine/>
    <w:qFormat/>
    <w:uiPriority w:val="9"/>
    <w:rPr>
      <w:rFonts w:eastAsia="仿宋_GB2312"/>
      <w:b/>
      <w:bCs/>
      <w:kern w:val="44"/>
      <w:sz w:val="24"/>
      <w:szCs w:val="44"/>
    </w:rPr>
  </w:style>
  <w:style w:type="paragraph" w:customStyle="1" w:styleId="33">
    <w:name w:val="Default"/>
    <w:autoRedefine/>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 w:type="paragraph" w:customStyle="1" w:styleId="34">
    <w:name w:val="1"/>
    <w:basedOn w:val="1"/>
    <w:autoRedefine/>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5248</Words>
  <Characters>5401</Characters>
  <Lines>50</Lines>
  <Paragraphs>14</Paragraphs>
  <TotalTime>51</TotalTime>
  <ScaleCrop>false</ScaleCrop>
  <LinksUpToDate>false</LinksUpToDate>
  <CharactersWithSpaces>5733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2012-12-19T08:19:00Z</dcterms:created>
  <dc:creator>admin</dc:creator>
  <cp:lastModifiedBy>空白</cp:lastModifiedBy>
  <cp:lastPrinted>2024-04-17T01:00:00Z</cp:lastPrinted>
  <dcterms:modified xsi:type="dcterms:W3CDTF">2024-04-17T02:30:00Z</dcterms:modified>
  <dc:title>中建七局华北公司</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775C5C97665149DA8962CF56B4A95E42_13</vt:lpwstr>
  </property>
</Properties>
</file>