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right"/>
        <w:rPr>
          <w:rFonts w:hint="eastAsia" w:ascii="楷体_GB2312" w:hAnsi="楷体_GB2312" w:eastAsia="楷体_GB2312" w:cs="楷体_GB2312"/>
          <w:b/>
          <w:sz w:val="52"/>
          <w:szCs w:val="52"/>
          <w:highlight w:val="none"/>
          <w:lang w:val="en-US" w:eastAsia="zh-CN"/>
        </w:rPr>
      </w:pPr>
      <w:bookmarkStart w:id="0" w:name="_Toc343700737"/>
      <w:bookmarkStart w:id="1" w:name="_Toc343692939"/>
      <w:r>
        <w:rPr>
          <w:rFonts w:hint="eastAsia" w:ascii="楷体_GB2312" w:hAnsi="楷体_GB2312" w:eastAsia="楷体_GB2312" w:cs="楷体_GB2312"/>
          <w:b/>
          <w:sz w:val="52"/>
          <w:szCs w:val="52"/>
          <w:highlight w:val="none"/>
        </w:rPr>
        <w:t xml:space="preserve">   </w:t>
      </w:r>
      <w:r>
        <w:rPr>
          <w:rFonts w:hint="eastAsia" w:ascii="楷体_GB2312" w:hAnsi="楷体_GB2312" w:eastAsia="楷体_GB2312" w:cs="楷体_GB2312"/>
          <w:b/>
          <w:sz w:val="52"/>
          <w:szCs w:val="52"/>
          <w:highlight w:val="none"/>
          <w:lang w:val="en-US" w:eastAsia="zh-CN"/>
        </w:rPr>
        <w:t xml:space="preserve"> </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 xml:space="preserve">环湾滨海新区港产城融合配套基础设施项目-六标段规划九路、规划九路北延段MPP管公开采购                               </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询</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比</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价</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文</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 xml:space="preserve">件                  </w:t>
      </w:r>
    </w:p>
    <w:p>
      <w:pPr>
        <w:pStyle w:val="4"/>
        <w:rPr>
          <w:highlight w:val="none"/>
        </w:rPr>
      </w:pPr>
    </w:p>
    <w:p>
      <w:pPr>
        <w:rPr>
          <w:highlight w:val="none"/>
        </w:rPr>
      </w:pPr>
    </w:p>
    <w:p>
      <w:pPr>
        <w:pStyle w:val="4"/>
        <w:rPr>
          <w:rFonts w:hint="eastAsia" w:ascii="楷体" w:hAnsi="楷体" w:eastAsia="楷体" w:cs="楷体"/>
          <w:highlight w:val="none"/>
        </w:rPr>
      </w:pPr>
      <w:bookmarkStart w:id="15" w:name="_GoBack"/>
      <w:bookmarkEnd w:id="15"/>
    </w:p>
    <w:p>
      <w:pPr>
        <w:pStyle w:val="25"/>
        <w:numPr>
          <w:ilvl w:val="0"/>
          <w:numId w:val="1"/>
        </w:numPr>
        <w:spacing w:line="360" w:lineRule="exact"/>
        <w:ind w:firstLineChars="0"/>
        <w:jc w:val="center"/>
        <w:rPr>
          <w:rFonts w:hint="eastAsia" w:ascii="楷体" w:hAnsi="楷体" w:eastAsia="楷体" w:cs="楷体"/>
          <w:sz w:val="24"/>
          <w:szCs w:val="24"/>
          <w:highlight w:val="none"/>
        </w:rPr>
      </w:pPr>
      <w:r>
        <w:rPr>
          <w:rFonts w:hint="eastAsia" w:ascii="楷体" w:hAnsi="楷体" w:eastAsia="楷体" w:cs="楷体"/>
          <w:b/>
          <w:bCs/>
          <w:sz w:val="24"/>
          <w:szCs w:val="24"/>
          <w:highlight w:val="none"/>
          <w:lang w:val="en-US" w:eastAsia="zh-CN"/>
        </w:rPr>
        <w:t>询比价函</w:t>
      </w:r>
    </w:p>
    <w:p>
      <w:pPr>
        <w:adjustRightInd w:val="0"/>
        <w:snapToGrid w:val="0"/>
        <w:spacing w:line="360" w:lineRule="exact"/>
        <w:jc w:val="right"/>
        <w:rPr>
          <w:rFonts w:hint="default" w:ascii="楷体_GB2312" w:hAnsi="楷体_GB2312" w:eastAsia="楷体_GB2312" w:cs="楷体_GB2312"/>
          <w:sz w:val="24"/>
          <w:szCs w:val="24"/>
          <w:highlight w:val="none"/>
          <w:lang w:val="en-US"/>
        </w:rPr>
      </w:pPr>
      <w:r>
        <w:rPr>
          <w:rFonts w:hint="eastAsia" w:ascii="楷体_GB2312" w:hAnsi="楷体_GB2312" w:eastAsia="楷体_GB2312" w:cs="楷体_GB2312"/>
          <w:sz w:val="24"/>
          <w:szCs w:val="24"/>
          <w:highlight w:val="none"/>
        </w:rPr>
        <w:t xml:space="preserve">      </w:t>
      </w:r>
      <w:r>
        <w:rPr>
          <w:rFonts w:hint="eastAsia" w:ascii="楷体_GB2312" w:hAnsi="楷体_GB2312" w:eastAsia="楷体_GB2312" w:cs="楷体_GB2312"/>
          <w:sz w:val="24"/>
          <w:szCs w:val="24"/>
          <w:highlight w:val="none"/>
          <w:lang w:val="en-US" w:eastAsia="zh-CN"/>
        </w:rPr>
        <w:t xml:space="preserve">            </w:t>
      </w:r>
    </w:p>
    <w:tbl>
      <w:tblPr>
        <w:tblStyle w:val="17"/>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17"/>
        <w:gridCol w:w="5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613" w:type="dxa"/>
            <w:gridSpan w:val="3"/>
            <w:tcBorders>
              <w:top w:val="single" w:color="auto" w:sz="8" w:space="0"/>
            </w:tcBorders>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环湾滨海新区港产城融合配套基础设施项目-六标段规划九路、规划九路北延段</w:t>
            </w:r>
            <w:r>
              <w:rPr>
                <w:rFonts w:hint="eastAsia" w:ascii="楷体" w:hAnsi="楷体" w:eastAsia="楷体" w:cs="楷体"/>
                <w:sz w:val="24"/>
                <w:szCs w:val="24"/>
                <w:highlight w:val="none"/>
                <w:u w:val="single"/>
                <w:lang w:val="en-US" w:eastAsia="zh-CN"/>
              </w:rPr>
              <w:t>MPP管</w:t>
            </w:r>
            <w:r>
              <w:rPr>
                <w:rFonts w:hint="eastAsia" w:ascii="楷体" w:hAnsi="楷体" w:eastAsia="楷体" w:cs="楷体"/>
                <w:sz w:val="24"/>
                <w:szCs w:val="24"/>
                <w:highlight w:val="none"/>
              </w:rPr>
              <w:t>采购根据需要，拟按照</w:t>
            </w:r>
            <w:r>
              <w:rPr>
                <w:rFonts w:hint="eastAsia" w:ascii="楷体" w:hAnsi="楷体" w:eastAsia="楷体" w:cs="楷体"/>
                <w:sz w:val="24"/>
                <w:szCs w:val="24"/>
                <w:highlight w:val="none"/>
                <w:u w:val="single"/>
                <w:lang w:val="en-US" w:eastAsia="zh-CN"/>
              </w:rPr>
              <w:t>公开询比价</w:t>
            </w:r>
            <w:r>
              <w:rPr>
                <w:rFonts w:hint="eastAsia" w:ascii="楷体" w:hAnsi="楷体" w:eastAsia="楷体" w:cs="楷体"/>
                <w:sz w:val="24"/>
                <w:szCs w:val="24"/>
                <w:highlight w:val="none"/>
              </w:rPr>
              <w:t>方式进行采购，具体采购事项如下：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序号</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项目</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1</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招标</w:t>
            </w:r>
            <w:r>
              <w:rPr>
                <w:rFonts w:hint="eastAsia" w:ascii="楷体" w:hAnsi="楷体" w:eastAsia="楷体" w:cs="楷体"/>
                <w:sz w:val="24"/>
                <w:szCs w:val="24"/>
                <w:highlight w:val="none"/>
              </w:rPr>
              <w:t>单位</w:t>
            </w:r>
          </w:p>
        </w:tc>
        <w:tc>
          <w:tcPr>
            <w:tcW w:w="5233"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海南洋浦陆海国际贸易有限公司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2</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招标</w:t>
            </w:r>
            <w:r>
              <w:rPr>
                <w:rFonts w:hint="eastAsia" w:ascii="楷体" w:hAnsi="楷体" w:eastAsia="楷体" w:cs="楷体"/>
                <w:sz w:val="24"/>
                <w:szCs w:val="24"/>
                <w:highlight w:val="none"/>
              </w:rPr>
              <w:t>内容</w:t>
            </w:r>
          </w:p>
        </w:tc>
        <w:tc>
          <w:tcPr>
            <w:tcW w:w="5233" w:type="dxa"/>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填写内容：</w:t>
            </w:r>
          </w:p>
          <w:p>
            <w:pPr>
              <w:spacing w:line="360" w:lineRule="atLeast"/>
              <w:ind w:left="720" w:hanging="720" w:hangingChars="3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1.采购</w:t>
            </w:r>
            <w:r>
              <w:rPr>
                <w:rFonts w:hint="eastAsia" w:ascii="楷体" w:hAnsi="楷体" w:eastAsia="楷体" w:cs="楷体"/>
                <w:sz w:val="24"/>
                <w:szCs w:val="24"/>
                <w:highlight w:val="none"/>
                <w:lang w:val="en-US" w:eastAsia="zh-CN"/>
              </w:rPr>
              <w:t>货</w:t>
            </w:r>
            <w:r>
              <w:rPr>
                <w:rFonts w:hint="eastAsia" w:ascii="楷体" w:hAnsi="楷体" w:eastAsia="楷体" w:cs="楷体"/>
                <w:sz w:val="24"/>
                <w:szCs w:val="24"/>
                <w:highlight w:val="none"/>
              </w:rPr>
              <w:t>物名称/数量（详见报价书）；</w:t>
            </w:r>
          </w:p>
          <w:p>
            <w:pPr>
              <w:spacing w:line="360" w:lineRule="atLeast"/>
              <w:ind w:left="720" w:hanging="720" w:hangingChars="3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2.质量标准及技术要求等（详见</w:t>
            </w:r>
            <w:r>
              <w:rPr>
                <w:rFonts w:hint="eastAsia" w:ascii="楷体" w:hAnsi="楷体" w:eastAsia="楷体" w:cs="楷体"/>
                <w:sz w:val="24"/>
                <w:szCs w:val="24"/>
                <w:highlight w:val="none"/>
                <w:lang w:eastAsia="zh-CN"/>
              </w:rPr>
              <w:t>询比价</w:t>
            </w:r>
            <w:r>
              <w:rPr>
                <w:rFonts w:hint="eastAsia" w:ascii="楷体" w:hAnsi="楷体" w:eastAsia="楷体" w:cs="楷体"/>
                <w:sz w:val="24"/>
                <w:szCs w:val="24"/>
                <w:highlight w:val="none"/>
              </w:rPr>
              <w:t>说明）；</w:t>
            </w:r>
          </w:p>
          <w:p>
            <w:pPr>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询比价</w:t>
            </w:r>
            <w:r>
              <w:rPr>
                <w:rFonts w:hint="eastAsia" w:ascii="楷体" w:hAnsi="楷体" w:eastAsia="楷体" w:cs="楷体"/>
                <w:sz w:val="24"/>
                <w:szCs w:val="24"/>
                <w:highlight w:val="none"/>
              </w:rPr>
              <w:t>文件获取方式：到</w:t>
            </w:r>
            <w:r>
              <w:rPr>
                <w:rFonts w:hint="eastAsia" w:ascii="楷体" w:hAnsi="楷体" w:eastAsia="楷体" w:cs="楷体"/>
                <w:sz w:val="24"/>
                <w:szCs w:val="24"/>
                <w:highlight w:val="none"/>
                <w:lang w:eastAsia="zh-CN"/>
              </w:rPr>
              <w:t>询比价</w:t>
            </w:r>
            <w:r>
              <w:rPr>
                <w:rFonts w:hint="eastAsia" w:ascii="楷体" w:hAnsi="楷体" w:eastAsia="楷体" w:cs="楷体"/>
                <w:sz w:val="24"/>
                <w:szCs w:val="24"/>
                <w:highlight w:val="none"/>
              </w:rPr>
              <w:t>人指定地点</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洋浦国际商业大厦3楼305房</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领取或电子邮箱接收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3</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开始</w:t>
            </w:r>
            <w:r>
              <w:rPr>
                <w:rFonts w:hint="eastAsia" w:ascii="楷体" w:hAnsi="楷体" w:eastAsia="楷体" w:cs="楷体"/>
                <w:sz w:val="24"/>
                <w:szCs w:val="24"/>
                <w:highlight w:val="none"/>
              </w:rPr>
              <w:t>时间</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2024年3月28日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34" w:hRule="exac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4</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报价书</w:t>
            </w:r>
            <w:r>
              <w:rPr>
                <w:rFonts w:hint="eastAsia" w:ascii="楷体" w:hAnsi="楷体" w:eastAsia="楷体" w:cs="楷体"/>
                <w:sz w:val="24"/>
                <w:szCs w:val="24"/>
                <w:highlight w:val="none"/>
              </w:rPr>
              <w:t>递交时间地点</w:t>
            </w:r>
          </w:p>
        </w:tc>
        <w:tc>
          <w:tcPr>
            <w:tcW w:w="5233" w:type="dxa"/>
            <w:vAlign w:val="center"/>
          </w:tcPr>
          <w:p>
            <w:pPr>
              <w:spacing w:line="360" w:lineRule="atLeast"/>
              <w:jc w:val="center"/>
              <w:rPr>
                <w:rFonts w:hint="eastAsia" w:ascii="楷体" w:hAnsi="楷体" w:eastAsia="楷体" w:cs="楷体"/>
                <w:sz w:val="24"/>
                <w:szCs w:val="24"/>
                <w:highlight w:val="none"/>
                <w:lang w:val="en-US"/>
              </w:rPr>
            </w:pPr>
            <w:r>
              <w:rPr>
                <w:rFonts w:hint="eastAsia" w:ascii="楷体" w:hAnsi="楷体" w:eastAsia="楷体" w:cs="楷体"/>
                <w:sz w:val="24"/>
                <w:szCs w:val="24"/>
                <w:highlight w:val="none"/>
                <w:lang w:val="en-US" w:eastAsia="zh-CN"/>
              </w:rPr>
              <w:t>截至2024年4月8日上午10：00电子版发送至指定电子邮箱luhaimygs@hnyplh.com；纸质版同步邮寄至：海南省儋州市洋浦经济开发区控股大道洋浦大厦305室。报价文件以电子版为准。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5</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联系人及电话</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孙林斌18976333799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电子邮箱</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luhaimygs@hnyplh.com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7</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评分办法</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最低评标价法，以报价总价最低单位为第一成交候选人。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采购有效期</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询比价截止日起60天。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9</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品牌要求</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招标控制价</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18万元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11</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廉政监督电话</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0898-28810186 </w:t>
            </w:r>
          </w:p>
        </w:tc>
      </w:tr>
    </w:tbl>
    <w:p>
      <w:pPr>
        <w:rPr>
          <w:rFonts w:hint="eastAsia" w:ascii="楷体" w:hAnsi="楷体" w:eastAsia="楷体" w:cs="楷体"/>
          <w:szCs w:val="24"/>
          <w:highlight w:val="none"/>
        </w:rPr>
      </w:pPr>
      <w:r>
        <w:rPr>
          <w:rFonts w:hint="eastAsia" w:ascii="楷体" w:hAnsi="楷体" w:eastAsia="楷体" w:cs="楷体"/>
          <w:szCs w:val="24"/>
          <w:highlight w:val="none"/>
        </w:rPr>
        <w:br w:type="page"/>
      </w:r>
    </w:p>
    <w:p>
      <w:pPr>
        <w:pStyle w:val="2"/>
        <w:spacing w:before="0" w:line="240" w:lineRule="auto"/>
        <w:jc w:val="center"/>
        <w:rPr>
          <w:rFonts w:hint="eastAsia" w:ascii="楷体" w:hAnsi="楷体" w:eastAsia="楷体" w:cs="楷体"/>
          <w:highlight w:val="none"/>
          <w:lang w:val="en-US" w:eastAsia="zh-CN"/>
        </w:rPr>
      </w:pPr>
      <w:r>
        <w:rPr>
          <w:rFonts w:hint="eastAsia" w:ascii="楷体" w:hAnsi="楷体" w:eastAsia="楷体" w:cs="楷体"/>
          <w:szCs w:val="24"/>
          <w:highlight w:val="none"/>
        </w:rPr>
        <w:t>第二章</w:t>
      </w:r>
      <w:r>
        <w:rPr>
          <w:rFonts w:hint="eastAsia" w:ascii="楷体" w:hAnsi="楷体" w:eastAsia="楷体" w:cs="楷体"/>
          <w:szCs w:val="24"/>
          <w:highlight w:val="none"/>
          <w:lang w:val="en-US" w:eastAsia="zh-CN"/>
        </w:rPr>
        <w:t xml:space="preserve"> </w:t>
      </w:r>
      <w:bookmarkEnd w:id="0"/>
      <w:bookmarkEnd w:id="1"/>
      <w:r>
        <w:rPr>
          <w:rFonts w:hint="eastAsia" w:ascii="楷体" w:hAnsi="楷体" w:eastAsia="楷体" w:cs="楷体"/>
          <w:szCs w:val="24"/>
          <w:highlight w:val="none"/>
          <w:lang w:val="en-US" w:eastAsia="zh-CN"/>
        </w:rPr>
        <w:t>供应商须知</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bookmarkStart w:id="2" w:name="_Toc343692940"/>
      <w:bookmarkStart w:id="3" w:name="_Toc343700738"/>
      <w:r>
        <w:rPr>
          <w:rFonts w:hint="eastAsia" w:ascii="楷体" w:hAnsi="楷体" w:eastAsia="楷体" w:cs="楷体"/>
          <w:sz w:val="24"/>
          <w:szCs w:val="24"/>
          <w:highlight w:val="none"/>
        </w:rPr>
        <w:t>一、总则</w:t>
      </w:r>
      <w:bookmarkEnd w:id="2"/>
      <w:bookmarkEnd w:id="3"/>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(一)原则</w:t>
      </w:r>
    </w:p>
    <w:p>
      <w:pPr>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bCs/>
          <w:sz w:val="24"/>
          <w:szCs w:val="24"/>
          <w:highlight w:val="none"/>
          <w:lang w:eastAsia="zh-CN"/>
        </w:rPr>
      </w:pPr>
      <w:r>
        <w:rPr>
          <w:rFonts w:hint="eastAsia" w:ascii="楷体" w:hAnsi="楷体" w:eastAsia="楷体" w:cs="楷体"/>
          <w:bCs/>
          <w:sz w:val="24"/>
          <w:szCs w:val="24"/>
          <w:highlight w:val="none"/>
        </w:rPr>
        <w:t>坚持公开、公正、公平和诚实信用的原则。坚持质量优先，价格合理，科学评估，规范运作</w:t>
      </w:r>
      <w:r>
        <w:rPr>
          <w:rFonts w:hint="eastAsia" w:ascii="楷体" w:hAnsi="楷体" w:eastAsia="楷体" w:cs="楷体"/>
          <w:bCs/>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eastAsia="zh-CN"/>
        </w:rPr>
      </w:pPr>
      <w:r>
        <w:rPr>
          <w:rFonts w:hint="eastAsia" w:ascii="楷体" w:hAnsi="楷体" w:eastAsia="楷体" w:cs="楷体"/>
          <w:bCs/>
          <w:sz w:val="24"/>
          <w:szCs w:val="24"/>
          <w:highlight w:val="none"/>
        </w:rPr>
        <w:t xml:space="preserve">(二) </w:t>
      </w:r>
      <w:r>
        <w:rPr>
          <w:rFonts w:hint="eastAsia" w:ascii="楷体" w:hAnsi="楷体" w:eastAsia="楷体" w:cs="楷体"/>
          <w:bCs/>
          <w:sz w:val="24"/>
          <w:szCs w:val="24"/>
          <w:highlight w:val="none"/>
          <w:lang w:val="en-US" w:eastAsia="zh-CN"/>
        </w:rPr>
        <w:t>供应商参与报价条件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1、具备法律主体资格。</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2、具备国家有关部门、行业或公司要求必须取得的质量、计量、安全、环保认证及其他经营许可；在有关部门和行业的监督检查中没有不良记录；与公司没有不良合作记录。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sz w:val="24"/>
          <w:szCs w:val="24"/>
          <w:highlight w:val="none"/>
          <w:lang w:val="en-US" w:eastAsia="zh-CN"/>
        </w:rPr>
      </w:pPr>
      <w:r>
        <w:rPr>
          <w:rFonts w:hint="eastAsia" w:ascii="楷体" w:hAnsi="楷体" w:eastAsia="楷体" w:cs="楷体"/>
          <w:bCs/>
          <w:sz w:val="24"/>
          <w:szCs w:val="24"/>
          <w:highlight w:val="none"/>
        </w:rPr>
        <w:t>3、具有一定的经营规模和服务能力</w:t>
      </w:r>
      <w:r>
        <w:rPr>
          <w:rFonts w:hint="eastAsia" w:ascii="楷体" w:hAnsi="楷体" w:eastAsia="楷体" w:cs="楷体"/>
          <w:bCs/>
          <w:sz w:val="24"/>
          <w:szCs w:val="24"/>
          <w:highlight w:val="none"/>
          <w:lang w:eastAsia="zh-CN"/>
        </w:rPr>
        <w:t>，</w:t>
      </w:r>
      <w:r>
        <w:rPr>
          <w:rFonts w:hint="eastAsia" w:ascii="楷体" w:hAnsi="楷体" w:eastAsia="楷体" w:cs="楷体"/>
          <w:bCs/>
          <w:sz w:val="24"/>
          <w:szCs w:val="24"/>
          <w:highlight w:val="none"/>
          <w:lang w:val="en-US" w:eastAsia="zh-CN"/>
        </w:rPr>
        <w:t>有同产品的供应业绩，供应量不低于本次询价数量。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rPr>
        <w:t>4、具有良好的商业信誉</w:t>
      </w:r>
      <w:r>
        <w:rPr>
          <w:rFonts w:hint="eastAsia" w:ascii="楷体" w:hAnsi="楷体" w:eastAsia="楷体" w:cs="楷体"/>
          <w:bCs/>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(三)合格的</w:t>
      </w:r>
      <w:r>
        <w:rPr>
          <w:rFonts w:hint="eastAsia" w:ascii="楷体" w:hAnsi="楷体" w:eastAsia="楷体" w:cs="楷体"/>
          <w:bCs/>
          <w:sz w:val="24"/>
          <w:szCs w:val="24"/>
          <w:highlight w:val="none"/>
          <w:u w:val="single"/>
          <w:lang w:val="en-US" w:eastAsia="zh-CN"/>
        </w:rPr>
        <w:t>MPP管</w:t>
      </w:r>
      <w:r>
        <w:rPr>
          <w:rFonts w:hint="eastAsia" w:ascii="楷体" w:hAnsi="楷体" w:eastAsia="楷体" w:cs="楷体"/>
          <w:bCs/>
          <w:sz w:val="24"/>
          <w:szCs w:val="24"/>
          <w:highlight w:val="none"/>
        </w:rPr>
        <w:t>采购范围和交易方式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结束后，向</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企业发放《</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通知书》，</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企业凭《</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通知书》按照</w:t>
      </w:r>
      <w:r>
        <w:rPr>
          <w:rFonts w:hint="eastAsia" w:ascii="楷体" w:hAnsi="楷体" w:eastAsia="楷体" w:cs="楷体"/>
          <w:bCs/>
          <w:sz w:val="24"/>
          <w:szCs w:val="24"/>
          <w:highlight w:val="none"/>
          <w:lang w:val="en-US" w:eastAsia="zh-CN"/>
        </w:rPr>
        <w:t>报价书价格</w:t>
      </w:r>
      <w:r>
        <w:rPr>
          <w:rFonts w:hint="eastAsia" w:ascii="楷体" w:hAnsi="楷体" w:eastAsia="楷体" w:cs="楷体"/>
          <w:bCs/>
          <w:sz w:val="24"/>
          <w:szCs w:val="24"/>
          <w:highlight w:val="none"/>
        </w:rPr>
        <w:t>签定具体采购合同。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2．供货和结算方式：</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企业根据合同供货，货款按合同规定结算。</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3．供货过程中，如发现</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单位实际不具备供货条件，或所供应</w:t>
      </w:r>
      <w:r>
        <w:rPr>
          <w:rFonts w:hint="eastAsia" w:ascii="楷体" w:hAnsi="楷体" w:eastAsia="楷体" w:cs="楷体"/>
          <w:bCs/>
          <w:sz w:val="24"/>
          <w:szCs w:val="24"/>
          <w:highlight w:val="none"/>
          <w:u w:val="single"/>
          <w:lang w:val="en-US" w:eastAsia="zh-CN"/>
        </w:rPr>
        <w:t>MPP管</w:t>
      </w:r>
      <w:r>
        <w:rPr>
          <w:rFonts w:hint="eastAsia" w:ascii="楷体" w:hAnsi="楷体" w:eastAsia="楷体" w:cs="楷体"/>
          <w:bCs/>
          <w:sz w:val="24"/>
          <w:szCs w:val="24"/>
          <w:highlight w:val="none"/>
        </w:rPr>
        <w:t>不符合相关质量要求，</w:t>
      </w:r>
      <w:r>
        <w:rPr>
          <w:rFonts w:hint="eastAsia" w:ascii="楷体" w:hAnsi="楷体" w:eastAsia="楷体" w:cs="楷体"/>
          <w:bCs/>
          <w:sz w:val="24"/>
          <w:szCs w:val="24"/>
          <w:highlight w:val="none"/>
          <w:lang w:val="en-US" w:eastAsia="zh-CN"/>
        </w:rPr>
        <w:t>我司</w:t>
      </w:r>
      <w:r>
        <w:rPr>
          <w:rFonts w:hint="eastAsia" w:ascii="楷体" w:hAnsi="楷体" w:eastAsia="楷体" w:cs="楷体"/>
          <w:bCs/>
          <w:sz w:val="24"/>
          <w:szCs w:val="24"/>
          <w:highlight w:val="none"/>
        </w:rPr>
        <w:t>可终止与该</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单位合作。</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（四）合同文本采用使用</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单位提供的合同文本。供货合同将以此</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文件为基础签订，凡参与</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的单位皆被视为认可文件中出现的所有条款，并被视为</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单位已把文件中出现的所有条款综合考虑在自己的报价中。</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单位在签订合同时无权调整条款，否则被视为</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单位放弃资格，</w:t>
      </w:r>
      <w:r>
        <w:rPr>
          <w:rFonts w:hint="eastAsia" w:ascii="楷体" w:hAnsi="楷体" w:eastAsia="楷体" w:cs="楷体"/>
          <w:bCs/>
          <w:sz w:val="24"/>
          <w:szCs w:val="24"/>
          <w:highlight w:val="none"/>
          <w:lang w:val="en-US" w:eastAsia="zh-CN"/>
        </w:rPr>
        <w:t>我司</w:t>
      </w:r>
      <w:r>
        <w:rPr>
          <w:rFonts w:hint="eastAsia" w:ascii="楷体" w:hAnsi="楷体" w:eastAsia="楷体" w:cs="楷体"/>
          <w:bCs/>
          <w:sz w:val="24"/>
          <w:szCs w:val="24"/>
          <w:highlight w:val="none"/>
        </w:rPr>
        <w:t>与备选单位签订合同。</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bookmarkStart w:id="4" w:name="_Toc343700739"/>
      <w:bookmarkStart w:id="5" w:name="_Toc343692941"/>
      <w:r>
        <w:rPr>
          <w:rFonts w:hint="eastAsia" w:ascii="楷体" w:hAnsi="楷体" w:eastAsia="楷体" w:cs="楷体"/>
          <w:sz w:val="24"/>
          <w:szCs w:val="24"/>
          <w:highlight w:val="none"/>
        </w:rPr>
        <w:t>二、</w:t>
      </w:r>
      <w:bookmarkEnd w:id="4"/>
      <w:bookmarkEnd w:id="5"/>
      <w:r>
        <w:rPr>
          <w:rFonts w:hint="eastAsia" w:ascii="楷体" w:hAnsi="楷体" w:eastAsia="楷体" w:cs="楷体"/>
          <w:sz w:val="24"/>
          <w:szCs w:val="24"/>
          <w:highlight w:val="none"/>
          <w:lang w:eastAsia="zh-CN"/>
        </w:rPr>
        <w:t>询比价</w:t>
      </w:r>
      <w:r>
        <w:rPr>
          <w:rFonts w:hint="eastAsia" w:ascii="楷体" w:hAnsi="楷体" w:eastAsia="楷体" w:cs="楷体"/>
          <w:sz w:val="24"/>
          <w:szCs w:val="24"/>
          <w:highlight w:val="none"/>
        </w:rPr>
        <w:t>说明</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w:t>
      </w:r>
      <w:r>
        <w:rPr>
          <w:rFonts w:hint="eastAsia" w:ascii="楷体" w:hAnsi="楷体" w:eastAsia="楷体" w:cs="楷体"/>
          <w:bCs/>
          <w:sz w:val="24"/>
          <w:szCs w:val="24"/>
          <w:highlight w:val="none"/>
          <w:lang w:val="en-US" w:eastAsia="zh-CN"/>
        </w:rPr>
        <w:t>询比价</w:t>
      </w:r>
      <w:r>
        <w:rPr>
          <w:rFonts w:hint="eastAsia" w:ascii="楷体" w:hAnsi="楷体" w:eastAsia="楷体" w:cs="楷体"/>
          <w:bCs/>
          <w:sz w:val="24"/>
          <w:szCs w:val="24"/>
          <w:highlight w:val="none"/>
        </w:rPr>
        <w:t>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w:t>
      </w:r>
      <w:r>
        <w:rPr>
          <w:rFonts w:hint="eastAsia" w:ascii="楷体" w:hAnsi="楷体" w:eastAsia="楷体" w:cs="楷体"/>
          <w:bCs/>
          <w:sz w:val="24"/>
          <w:szCs w:val="24"/>
          <w:highlight w:val="none"/>
          <w:lang w:val="en-US" w:eastAsia="zh-CN"/>
        </w:rPr>
        <w:t>询比价</w:t>
      </w:r>
      <w:r>
        <w:rPr>
          <w:rFonts w:hint="eastAsia" w:ascii="楷体" w:hAnsi="楷体" w:eastAsia="楷体" w:cs="楷体"/>
          <w:bCs/>
          <w:sz w:val="24"/>
          <w:szCs w:val="24"/>
          <w:highlight w:val="none"/>
        </w:rPr>
        <w:t xml:space="preserve">函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 xml:space="preserve">人须知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rPr>
        <w:t>3、报价书</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（二）</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文件具体要求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1、本次</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的内容：</w:t>
      </w:r>
      <w:r>
        <w:rPr>
          <w:rFonts w:hint="eastAsia" w:ascii="楷体" w:hAnsi="楷体" w:eastAsia="楷体" w:cs="楷体"/>
          <w:sz w:val="24"/>
          <w:szCs w:val="24"/>
          <w:highlight w:val="none"/>
          <w:u w:val="single"/>
          <w:lang w:val="en-US" w:eastAsia="zh-CN"/>
        </w:rPr>
        <w:t>MPP管</w:t>
      </w:r>
      <w:r>
        <w:rPr>
          <w:rFonts w:hint="eastAsia" w:ascii="楷体" w:hAnsi="楷体" w:eastAsia="楷体" w:cs="楷体"/>
          <w:bCs/>
          <w:sz w:val="24"/>
          <w:szCs w:val="24"/>
          <w:highlight w:val="none"/>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i w:val="0"/>
          <w:caps w:val="0"/>
          <w:color w:val="000000"/>
          <w:spacing w:val="0"/>
          <w:sz w:val="24"/>
          <w:szCs w:val="24"/>
          <w:highlight w:val="none"/>
          <w:lang w:eastAsia="zh-CN"/>
        </w:rPr>
      </w:pPr>
      <w:r>
        <w:rPr>
          <w:rFonts w:hint="eastAsia" w:ascii="楷体" w:hAnsi="楷体" w:eastAsia="楷体" w:cs="楷体"/>
          <w:bCs/>
          <w:sz w:val="24"/>
          <w:szCs w:val="24"/>
          <w:highlight w:val="none"/>
        </w:rPr>
        <w:t>2、承包方式：</w:t>
      </w:r>
      <w:r>
        <w:rPr>
          <w:rFonts w:hint="eastAsia" w:ascii="楷体" w:hAnsi="楷体" w:eastAsia="楷体" w:cs="楷体"/>
          <w:sz w:val="24"/>
          <w:szCs w:val="24"/>
          <w:highlight w:val="none"/>
          <w:u w:val="single"/>
          <w:lang w:val="en-US" w:eastAsia="zh-CN"/>
        </w:rPr>
        <w:t>MPP管</w:t>
      </w:r>
      <w:r>
        <w:rPr>
          <w:rFonts w:hint="eastAsia" w:ascii="楷体" w:hAnsi="楷体" w:eastAsia="楷体" w:cs="楷体"/>
          <w:i w:val="0"/>
          <w:caps w:val="0"/>
          <w:color w:val="000000"/>
          <w:spacing w:val="0"/>
          <w:sz w:val="24"/>
          <w:szCs w:val="24"/>
          <w:highlight w:val="none"/>
        </w:rPr>
        <w:t>的供应（包括</w:t>
      </w:r>
      <w:r>
        <w:rPr>
          <w:rFonts w:hint="eastAsia" w:ascii="楷体" w:hAnsi="楷体" w:eastAsia="楷体" w:cs="楷体"/>
          <w:i w:val="0"/>
          <w:caps w:val="0"/>
          <w:color w:val="000000"/>
          <w:spacing w:val="0"/>
          <w:sz w:val="24"/>
          <w:szCs w:val="24"/>
          <w:highlight w:val="none"/>
          <w:lang w:val="en-US" w:eastAsia="zh-CN"/>
        </w:rPr>
        <w:t>制作加工、</w:t>
      </w:r>
      <w:r>
        <w:rPr>
          <w:rFonts w:hint="eastAsia" w:ascii="楷体" w:hAnsi="楷体" w:eastAsia="楷体" w:cs="楷体"/>
          <w:i w:val="0"/>
          <w:caps w:val="0"/>
          <w:color w:val="000000"/>
          <w:spacing w:val="0"/>
          <w:sz w:val="24"/>
          <w:szCs w:val="24"/>
          <w:highlight w:val="none"/>
        </w:rPr>
        <w:t>运输）</w:t>
      </w:r>
    </w:p>
    <w:p>
      <w:pPr>
        <w:pageBreakBefore w:val="0"/>
        <w:widowControl w:val="0"/>
        <w:kinsoku/>
        <w:wordWrap/>
        <w:overflowPunct/>
        <w:topLinePunct w:val="0"/>
        <w:autoSpaceDE/>
        <w:autoSpaceDN/>
        <w:bidi w:val="0"/>
        <w:adjustRightInd/>
        <w:snapToGrid/>
        <w:spacing w:line="400" w:lineRule="exact"/>
        <w:textAlignment w:val="auto"/>
        <w:rPr>
          <w:rFonts w:hint="default"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3.</w:t>
      </w:r>
      <w:bookmarkStart w:id="6" w:name="_Toc343692942"/>
      <w:bookmarkStart w:id="7" w:name="_Toc343700740"/>
      <w:r>
        <w:rPr>
          <w:rFonts w:hint="eastAsia" w:ascii="楷体" w:hAnsi="楷体" w:eastAsia="楷体" w:cs="楷体"/>
          <w:bCs/>
          <w:sz w:val="24"/>
          <w:szCs w:val="24"/>
          <w:highlight w:val="none"/>
        </w:rPr>
        <w:t>1、</w:t>
      </w:r>
      <w:r>
        <w:rPr>
          <w:rFonts w:hint="eastAsia" w:ascii="楷体" w:hAnsi="楷体" w:eastAsia="楷体" w:cs="楷体"/>
          <w:bCs/>
          <w:sz w:val="24"/>
          <w:szCs w:val="24"/>
          <w:highlight w:val="none"/>
          <w:lang w:val="en-US" w:eastAsia="zh-CN"/>
        </w:rPr>
        <w:t>规范要求：符合DL/T 802.7-2010《电力电缆用导管技术条件一第7部分：非开挖用改性聚丙烯塑料电缆导管》；详细参数以工程设计图纸为准。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2、进场的物资必须符合国家相关标准。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3、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4、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Cs/>
          <w:sz w:val="24"/>
          <w:szCs w:val="24"/>
          <w:highlight w:val="none"/>
        </w:rPr>
      </w:pPr>
      <w:r>
        <w:rPr>
          <w:rFonts w:hint="eastAsia" w:ascii="楷体" w:hAnsi="楷体" w:eastAsia="楷体" w:cs="楷体"/>
          <w:bCs/>
          <w:sz w:val="24"/>
          <w:szCs w:val="24"/>
          <w:highlight w:val="none"/>
          <w:lang w:val="en-US" w:eastAsia="zh-CN"/>
        </w:rPr>
        <w:t>4</w:t>
      </w:r>
      <w:r>
        <w:rPr>
          <w:rFonts w:hint="eastAsia" w:ascii="楷体" w:hAnsi="楷体" w:eastAsia="楷体" w:cs="楷体"/>
          <w:bCs/>
          <w:sz w:val="24"/>
          <w:szCs w:val="24"/>
          <w:highlight w:val="none"/>
        </w:rPr>
        <w:t>、验收方法：</w:t>
      </w:r>
      <w:r>
        <w:rPr>
          <w:rFonts w:hint="eastAsia" w:ascii="楷体" w:hAnsi="楷体" w:eastAsia="楷体" w:cs="楷体"/>
          <w:bCs/>
          <w:sz w:val="24"/>
          <w:szCs w:val="24"/>
          <w:highlight w:val="none"/>
          <w:lang w:val="en-US" w:eastAsia="zh-CN"/>
        </w:rPr>
        <w:t>买方</w:t>
      </w:r>
      <w:r>
        <w:rPr>
          <w:rFonts w:hint="eastAsia" w:ascii="楷体" w:hAnsi="楷体" w:eastAsia="楷体" w:cs="楷体"/>
          <w:bCs/>
          <w:sz w:val="24"/>
          <w:szCs w:val="24"/>
          <w:highlight w:val="none"/>
        </w:rPr>
        <w:t>有权利对进场的物资进行各种形式的检验，供应商必须充分配合。所供物资均应符合现行国家标准，具有质量检验部门的产品合格证、检测报告及产品性能说明书，并应表明生产厂家、规格和生产日期，物资进场时将以上合格资料一同交由承包方。</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5</w:t>
      </w:r>
      <w:r>
        <w:rPr>
          <w:rFonts w:hint="eastAsia" w:ascii="楷体" w:hAnsi="楷体" w:eastAsia="楷体" w:cs="楷体"/>
          <w:bCs/>
          <w:sz w:val="24"/>
          <w:szCs w:val="24"/>
          <w:highlight w:val="none"/>
        </w:rPr>
        <w:t>、送货方式：根据</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单位要求的时间送货到指定位置。</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6、</w:t>
      </w:r>
      <w:r>
        <w:rPr>
          <w:rFonts w:hint="eastAsia" w:ascii="楷体" w:hAnsi="楷体" w:eastAsia="楷体" w:cs="楷体"/>
          <w:bCs/>
          <w:sz w:val="24"/>
          <w:szCs w:val="24"/>
          <w:highlight w:val="none"/>
        </w:rPr>
        <w:t>合同文本：供货合同将以此</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文件为基础签订，凡参与的单位皆被视为认可</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文件中出现的所有条款，并被视为</w:t>
      </w:r>
      <w:r>
        <w:rPr>
          <w:rFonts w:hint="eastAsia" w:ascii="楷体" w:hAnsi="楷体" w:eastAsia="楷体" w:cs="楷体"/>
          <w:bCs/>
          <w:sz w:val="24"/>
          <w:szCs w:val="24"/>
          <w:highlight w:val="none"/>
          <w:lang w:eastAsia="zh-CN"/>
        </w:rPr>
        <w:t xml:space="preserve"> </w:t>
      </w:r>
      <w:r>
        <w:rPr>
          <w:rFonts w:hint="eastAsia" w:ascii="楷体" w:hAnsi="楷体" w:eastAsia="楷体" w:cs="楷体"/>
          <w:bCs/>
          <w:sz w:val="24"/>
          <w:szCs w:val="24"/>
          <w:highlight w:val="none"/>
        </w:rPr>
        <w:t>单位已把</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文件中出现的所有条款综合考虑在自己的报价中。</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单位在签订合同时无权调整条款，否则被视为</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单位放弃</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资格，</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单位与备选</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单位签订合同。</w:t>
      </w:r>
    </w:p>
    <w:p>
      <w:pPr>
        <w:pageBreakBefore w:val="0"/>
        <w:widowControl w:val="0"/>
        <w:kinsoku/>
        <w:wordWrap/>
        <w:overflowPunct/>
        <w:topLinePunct w:val="0"/>
        <w:autoSpaceDE/>
        <w:autoSpaceDN/>
        <w:bidi w:val="0"/>
        <w:adjustRightInd/>
        <w:snapToGrid/>
        <w:spacing w:line="400" w:lineRule="exact"/>
        <w:textAlignment w:val="auto"/>
        <w:rPr>
          <w:rFonts w:hint="default"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7</w:t>
      </w:r>
      <w:r>
        <w:rPr>
          <w:rFonts w:hint="eastAsia" w:ascii="楷体" w:hAnsi="楷体" w:eastAsia="楷体" w:cs="楷体"/>
          <w:bCs/>
          <w:sz w:val="24"/>
          <w:szCs w:val="24"/>
          <w:highlight w:val="none"/>
        </w:rPr>
        <w:t>、对未</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的单位不做经济方面或其他方面的赔偿，也不做解释，谨对合作表示衷心的感谢。</w:t>
      </w:r>
      <w:r>
        <w:rPr>
          <w:rFonts w:hint="eastAsia" w:ascii="楷体" w:hAnsi="楷体" w:eastAsia="楷体" w:cs="楷体"/>
          <w:bCs/>
          <w:sz w:val="24"/>
          <w:szCs w:val="24"/>
          <w:highlight w:val="none"/>
        </w:rPr>
        <w:br w:type="textWrapping"/>
      </w:r>
      <w:r>
        <w:rPr>
          <w:rFonts w:hint="eastAsia" w:ascii="楷体" w:hAnsi="楷体" w:eastAsia="楷体" w:cs="楷体"/>
          <w:bCs/>
          <w:sz w:val="24"/>
          <w:szCs w:val="24"/>
          <w:highlight w:val="none"/>
          <w:lang w:val="en-US" w:eastAsia="zh-CN"/>
        </w:rPr>
        <w:t>8、若出现多次电子版报价，则按报价截止前最后一封电子邮件报价为准。</w:t>
      </w:r>
    </w:p>
    <w:p>
      <w:pPr>
        <w:pStyle w:val="3"/>
        <w:pageBreakBefore w:val="0"/>
        <w:widowControl w:val="0"/>
        <w:kinsoku/>
        <w:wordWrap/>
        <w:overflowPunct/>
        <w:topLinePunct w:val="0"/>
        <w:autoSpaceDE/>
        <w:autoSpaceDN/>
        <w:bidi w:val="0"/>
        <w:adjustRightInd/>
        <w:snapToGrid/>
        <w:spacing w:before="0" w:line="400" w:lineRule="exact"/>
        <w:textAlignment w:val="auto"/>
        <w:rPr>
          <w:rFonts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rPr>
        <w:t>三、</w:t>
      </w:r>
      <w:r>
        <w:rPr>
          <w:rFonts w:hint="eastAsia" w:ascii="楷体_GB2312" w:hAnsi="楷体_GB2312" w:eastAsia="楷体_GB2312" w:cs="楷体_GB2312"/>
          <w:sz w:val="24"/>
          <w:szCs w:val="24"/>
          <w:highlight w:val="none"/>
          <w:lang w:val="en-US" w:eastAsia="zh-CN"/>
        </w:rPr>
        <w:t>报价</w:t>
      </w:r>
      <w:r>
        <w:rPr>
          <w:rFonts w:hint="eastAsia" w:ascii="楷体_GB2312" w:hAnsi="楷体_GB2312" w:eastAsia="楷体_GB2312" w:cs="楷体_GB2312"/>
          <w:sz w:val="24"/>
          <w:szCs w:val="24"/>
          <w:highlight w:val="none"/>
        </w:rPr>
        <w:t>书的编制和递交</w:t>
      </w:r>
      <w:bookmarkEnd w:id="6"/>
      <w:bookmarkEnd w:id="7"/>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（一）材料构成：</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资料需加盖企业公章，送达的资料包括：</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1</w:t>
      </w:r>
      <w:r>
        <w:rPr>
          <w:rFonts w:hint="eastAsia" w:ascii="楷体" w:hAnsi="楷体" w:eastAsia="楷体" w:cs="楷体"/>
          <w:bCs/>
          <w:sz w:val="24"/>
          <w:szCs w:val="24"/>
          <w:highlight w:val="none"/>
        </w:rPr>
        <w:t>、</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承诺函</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highlight w:val="none"/>
          <w:lang w:val="en-US" w:eastAsia="zh-CN"/>
        </w:rPr>
      </w:pPr>
      <w:r>
        <w:rPr>
          <w:rFonts w:hint="eastAsia" w:ascii="楷体" w:hAnsi="楷体" w:eastAsia="楷体" w:cs="楷体"/>
          <w:bCs/>
          <w:sz w:val="24"/>
          <w:szCs w:val="24"/>
          <w:highlight w:val="none"/>
          <w:lang w:val="en-US" w:eastAsia="zh-CN"/>
        </w:rPr>
        <w:t>2</w:t>
      </w:r>
      <w:r>
        <w:rPr>
          <w:rFonts w:hint="eastAsia" w:ascii="楷体" w:hAnsi="楷体" w:eastAsia="楷体" w:cs="楷体"/>
          <w:bCs/>
          <w:sz w:val="24"/>
          <w:szCs w:val="24"/>
          <w:highlight w:val="none"/>
        </w:rPr>
        <w:t>、报价书</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、《法定代表人授权委托书》</w:t>
      </w:r>
      <w:r>
        <w:rPr>
          <w:rFonts w:hint="eastAsia" w:ascii="楷体" w:hAnsi="楷体" w:eastAsia="楷体" w:cs="楷体"/>
          <w:bCs/>
          <w:sz w:val="24"/>
          <w:szCs w:val="24"/>
          <w:highlight w:val="none"/>
          <w:lang w:val="en-US" w:eastAsia="zh-CN"/>
        </w:rPr>
        <w:t>及法人身份证复印件（如无授权人则只提供法人身份证复印件）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4、投标人（厂家或代理商）提供3份不少于200万类似项目业绩合同复印件（合同封面，合同价页，签字页）</w:t>
      </w:r>
      <w:r>
        <w:rPr>
          <w:rFonts w:hint="eastAsia" w:ascii="楷体" w:hAnsi="楷体" w:eastAsia="楷体" w:cs="楷体"/>
          <w:bCs/>
          <w:sz w:val="24"/>
          <w:szCs w:val="24"/>
          <w:highlight w:val="none"/>
          <w:lang w:val="en-US" w:eastAsia="zh-CN"/>
        </w:rPr>
        <w:br w:type="textWrapping"/>
      </w:r>
      <w:r>
        <w:rPr>
          <w:rFonts w:hint="eastAsia" w:ascii="楷体" w:hAnsi="楷体" w:eastAsia="楷体" w:cs="楷体"/>
          <w:bCs/>
          <w:sz w:val="24"/>
          <w:szCs w:val="24"/>
          <w:highlight w:val="none"/>
          <w:lang w:val="en-US" w:eastAsia="zh-CN"/>
        </w:rPr>
        <w:t>5、提供MPP管（任一规格）第三方检测报告一份</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（二）填写要求:《</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承诺函》、《报价书》、《法定代表人授权委托书》</w:t>
      </w:r>
      <w:r>
        <w:rPr>
          <w:rFonts w:hint="eastAsia" w:ascii="楷体" w:hAnsi="楷体" w:eastAsia="楷体" w:cs="楷体"/>
          <w:bCs/>
          <w:sz w:val="24"/>
          <w:szCs w:val="24"/>
          <w:highlight w:val="none"/>
          <w:lang w:eastAsia="zh-CN"/>
        </w:rPr>
        <w:t>，</w:t>
      </w:r>
      <w:r>
        <w:rPr>
          <w:rFonts w:hint="eastAsia" w:ascii="楷体" w:hAnsi="楷体" w:eastAsia="楷体" w:cs="楷体"/>
          <w:bCs/>
          <w:sz w:val="24"/>
          <w:szCs w:val="24"/>
          <w:highlight w:val="none"/>
          <w:lang w:val="en-US" w:eastAsia="zh-CN"/>
        </w:rPr>
        <w:t>供应商</w:t>
      </w:r>
      <w:r>
        <w:rPr>
          <w:rFonts w:hint="eastAsia" w:ascii="楷体" w:hAnsi="楷体" w:eastAsia="楷体" w:cs="楷体"/>
          <w:bCs/>
          <w:sz w:val="24"/>
          <w:szCs w:val="24"/>
          <w:highlight w:val="none"/>
        </w:rPr>
        <w:t>应完整地按照</w:t>
      </w:r>
      <w:r>
        <w:rPr>
          <w:rFonts w:hint="eastAsia" w:ascii="楷体" w:hAnsi="楷体" w:eastAsia="楷体" w:cs="楷体"/>
          <w:bCs/>
          <w:sz w:val="24"/>
          <w:szCs w:val="24"/>
          <w:highlight w:val="none"/>
          <w:lang w:val="en-US" w:eastAsia="zh-CN"/>
        </w:rPr>
        <w:t>询比价</w:t>
      </w:r>
      <w:r>
        <w:rPr>
          <w:rFonts w:hint="eastAsia" w:ascii="楷体" w:hAnsi="楷体" w:eastAsia="楷体" w:cs="楷体"/>
          <w:bCs/>
          <w:sz w:val="24"/>
          <w:szCs w:val="24"/>
          <w:highlight w:val="none"/>
        </w:rPr>
        <w:t>文件中所提供格式填写。</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书中的企业的名称应准确无误，并与通过资格审核的名称一致。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（三）材料递交时间和地点按</w:t>
      </w:r>
      <w:r>
        <w:rPr>
          <w:rFonts w:hint="eastAsia" w:ascii="楷体" w:hAnsi="楷体" w:eastAsia="楷体" w:cs="楷体"/>
          <w:bCs/>
          <w:sz w:val="24"/>
          <w:szCs w:val="24"/>
          <w:highlight w:val="none"/>
          <w:lang w:val="en-US" w:eastAsia="zh-CN"/>
        </w:rPr>
        <w:t>海南洋浦陆海国际贸易有限公司</w:t>
      </w:r>
      <w:r>
        <w:rPr>
          <w:rFonts w:hint="eastAsia" w:ascii="楷体" w:hAnsi="楷体" w:eastAsia="楷体" w:cs="楷体"/>
          <w:bCs/>
          <w:sz w:val="24"/>
          <w:szCs w:val="24"/>
          <w:highlight w:val="none"/>
        </w:rPr>
        <w:t>要求执行，因不可抗力原因，可酌情延长材料递交截止时间。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（四）材料其它要求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1、提供的资料必须真实、完整、合法。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2、所有材料均须由持有法人代表授权书的被授权人递交。</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3、同一企业只允许委托一个被授权人参与申报。一个被授权人只能接受一家企业的委托。</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4、提供虚假资质证明文件的，一经发现立即取消其资格，并交由相关部门依法处理。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5、申报材料应逐页加盖企业公章，复印件应清晰、完整。</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bookmarkStart w:id="8" w:name="_Toc343700741"/>
      <w:bookmarkStart w:id="9" w:name="_Toc343692943"/>
      <w:r>
        <w:rPr>
          <w:rFonts w:hint="eastAsia" w:ascii="楷体" w:hAnsi="楷体" w:eastAsia="楷体" w:cs="楷体"/>
          <w:sz w:val="24"/>
          <w:szCs w:val="24"/>
          <w:highlight w:val="none"/>
        </w:rPr>
        <w:t>四、报价</w:t>
      </w:r>
      <w:bookmarkEnd w:id="8"/>
      <w:bookmarkEnd w:id="9"/>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bookmarkStart w:id="10" w:name="_Toc343692950"/>
      <w:bookmarkStart w:id="11" w:name="_Toc343700748"/>
      <w:r>
        <w:rPr>
          <w:rFonts w:hint="eastAsia" w:ascii="楷体" w:hAnsi="楷体" w:eastAsia="楷体" w:cs="楷体"/>
          <w:bCs/>
          <w:sz w:val="24"/>
          <w:szCs w:val="24"/>
          <w:highlight w:val="none"/>
        </w:rPr>
        <w:t>（一）</w:t>
      </w:r>
      <w:r>
        <w:rPr>
          <w:rFonts w:hint="eastAsia" w:ascii="楷体" w:hAnsi="楷体" w:eastAsia="楷体" w:cs="楷体"/>
          <w:bCs/>
          <w:sz w:val="24"/>
          <w:szCs w:val="24"/>
          <w:highlight w:val="none"/>
          <w:lang w:val="en-US" w:eastAsia="zh-CN"/>
        </w:rPr>
        <w:t>报价单位</w:t>
      </w:r>
      <w:r>
        <w:rPr>
          <w:rFonts w:hint="eastAsia" w:ascii="楷体" w:hAnsi="楷体" w:eastAsia="楷体" w:cs="楷体"/>
          <w:bCs/>
          <w:sz w:val="24"/>
          <w:szCs w:val="24"/>
          <w:highlight w:val="none"/>
        </w:rPr>
        <w:t>可在递交的材料中，依据文件的格式要求填报纸质版《报价书》，随</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材料一同送达。</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eastAsia="zh-CN"/>
        </w:rPr>
      </w:pPr>
      <w:r>
        <w:rPr>
          <w:rFonts w:hint="eastAsia" w:ascii="楷体" w:hAnsi="楷体" w:eastAsia="楷体" w:cs="楷体"/>
          <w:bCs/>
          <w:sz w:val="24"/>
          <w:szCs w:val="24"/>
          <w:highlight w:val="none"/>
        </w:rPr>
        <w:t>（二）</w:t>
      </w:r>
      <w:r>
        <w:rPr>
          <w:rFonts w:hint="eastAsia" w:ascii="楷体" w:hAnsi="楷体" w:eastAsia="楷体" w:cs="楷体"/>
          <w:bCs/>
          <w:sz w:val="24"/>
          <w:szCs w:val="24"/>
          <w:highlight w:val="none"/>
          <w:lang w:val="en-US" w:eastAsia="zh-CN"/>
        </w:rPr>
        <w:t>报价使用的计量单位</w:t>
      </w:r>
      <w:r>
        <w:rPr>
          <w:rFonts w:hint="eastAsia" w:ascii="楷体" w:hAnsi="楷体" w:eastAsia="楷体" w:cs="楷体"/>
          <w:bCs/>
          <w:sz w:val="24"/>
          <w:szCs w:val="24"/>
          <w:highlight w:val="none"/>
        </w:rPr>
        <w:t>应以</w:t>
      </w:r>
      <w:r>
        <w:rPr>
          <w:rFonts w:hint="eastAsia" w:ascii="楷体" w:hAnsi="楷体" w:eastAsia="楷体" w:cs="楷体"/>
          <w:bCs/>
          <w:sz w:val="24"/>
          <w:szCs w:val="24"/>
          <w:highlight w:val="none"/>
          <w:lang w:val="en-US" w:eastAsia="zh-CN"/>
        </w:rPr>
        <w:t>报价书约定的</w:t>
      </w:r>
      <w:r>
        <w:rPr>
          <w:rFonts w:hint="eastAsia" w:ascii="楷体" w:hAnsi="楷体" w:eastAsia="楷体" w:cs="楷体"/>
          <w:bCs/>
          <w:sz w:val="24"/>
          <w:szCs w:val="24"/>
          <w:highlight w:val="none"/>
        </w:rPr>
        <w:t>单位</w:t>
      </w:r>
      <w:r>
        <w:rPr>
          <w:rFonts w:hint="eastAsia" w:ascii="楷体" w:hAnsi="楷体" w:eastAsia="楷体" w:cs="楷体"/>
          <w:bCs/>
          <w:sz w:val="24"/>
          <w:szCs w:val="24"/>
          <w:highlight w:val="none"/>
          <w:lang w:val="en-US" w:eastAsia="zh-CN"/>
        </w:rPr>
        <w:t>为准。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（三）报价使用货币为人民币，报价保留到小数点后两位。</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rPr>
        <w:t>（四）报价</w:t>
      </w:r>
      <w:r>
        <w:rPr>
          <w:rFonts w:hint="eastAsia" w:ascii="楷体" w:hAnsi="楷体" w:eastAsia="楷体" w:cs="楷体"/>
          <w:bCs/>
          <w:sz w:val="24"/>
          <w:szCs w:val="24"/>
          <w:highlight w:val="none"/>
          <w:lang w:val="en-US" w:eastAsia="zh-CN"/>
        </w:rPr>
        <w:t>包含的服务内容以报价书约定的为准。</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highlight w:val="none"/>
        </w:rPr>
      </w:pPr>
      <w:r>
        <w:rPr>
          <w:rFonts w:hint="eastAsia" w:ascii="楷体" w:hAnsi="楷体" w:eastAsia="楷体" w:cs="楷体"/>
          <w:bCs/>
          <w:sz w:val="24"/>
          <w:szCs w:val="24"/>
          <w:highlight w:val="none"/>
        </w:rPr>
        <w:t>（五）报价截至时间：以《</w:t>
      </w:r>
      <w:r>
        <w:rPr>
          <w:rFonts w:hint="eastAsia" w:ascii="楷体" w:hAnsi="楷体" w:eastAsia="楷体" w:cs="楷体"/>
          <w:bCs/>
          <w:sz w:val="24"/>
          <w:szCs w:val="24"/>
          <w:highlight w:val="none"/>
          <w:lang w:val="en-US" w:eastAsia="zh-CN"/>
        </w:rPr>
        <w:t>询比价函</w:t>
      </w:r>
      <w:r>
        <w:rPr>
          <w:rFonts w:hint="eastAsia" w:ascii="楷体" w:hAnsi="楷体" w:eastAsia="楷体" w:cs="楷体"/>
          <w:bCs/>
          <w:sz w:val="24"/>
          <w:szCs w:val="24"/>
          <w:highlight w:val="none"/>
        </w:rPr>
        <w:t>》</w:t>
      </w:r>
      <w:r>
        <w:rPr>
          <w:rFonts w:hint="eastAsia" w:ascii="楷体" w:hAnsi="楷体" w:eastAsia="楷体" w:cs="楷体"/>
          <w:sz w:val="24"/>
          <w:szCs w:val="24"/>
          <w:highlight w:val="none"/>
        </w:rPr>
        <w:t>公布的时间为准。</w:t>
      </w:r>
    </w:p>
    <w:p>
      <w:pPr>
        <w:pStyle w:val="4"/>
        <w:rPr>
          <w:rFonts w:hint="eastAsia" w:ascii="楷体" w:hAnsi="楷体" w:eastAsia="楷体" w:cs="楷体"/>
          <w:sz w:val="24"/>
          <w:szCs w:val="24"/>
          <w:highlight w:val="none"/>
        </w:rPr>
      </w:pPr>
    </w:p>
    <w:p>
      <w:pPr>
        <w:rPr>
          <w:rFonts w:hint="eastAsia" w:ascii="楷体_GB2312" w:hAnsi="楷体_GB2312" w:eastAsia="楷体_GB2312" w:cs="楷体_GB2312"/>
          <w:sz w:val="24"/>
          <w:szCs w:val="24"/>
          <w:highlight w:val="none"/>
        </w:rPr>
      </w:pPr>
    </w:p>
    <w:p>
      <w:pPr>
        <w:pStyle w:val="4"/>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pPr>
    </w:p>
    <w:p>
      <w:pPr>
        <w:pStyle w:val="4"/>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pPr>
    </w:p>
    <w:p>
      <w:pPr>
        <w:rPr>
          <w:rFonts w:hint="eastAsia" w:ascii="楷体_GB2312" w:hAnsi="楷体_GB2312" w:eastAsia="楷体_GB2312" w:cs="楷体_GB2312"/>
          <w:sz w:val="24"/>
          <w:szCs w:val="24"/>
          <w:highlight w:val="none"/>
        </w:rPr>
        <w:sectPr>
          <w:pgSz w:w="11906" w:h="16838"/>
          <w:pgMar w:top="1440" w:right="1800" w:bottom="1247" w:left="1800" w:header="851" w:footer="992" w:gutter="0"/>
          <w:cols w:space="0" w:num="1"/>
          <w:docGrid w:type="lines" w:linePitch="312" w:charSpace="0"/>
        </w:sectPr>
      </w:pPr>
    </w:p>
    <w:p>
      <w:pPr>
        <w:rPr>
          <w:rFonts w:hint="eastAsia" w:ascii="楷体_GB2312" w:hAnsi="楷体_GB2312" w:eastAsia="楷体_GB2312" w:cs="楷体_GB2312"/>
          <w:sz w:val="24"/>
          <w:szCs w:val="24"/>
          <w:highlight w:val="none"/>
        </w:rPr>
      </w:pP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240" w:lineRule="auto"/>
        <w:jc w:val="center"/>
        <w:textAlignment w:val="auto"/>
        <w:rPr>
          <w:rFonts w:hint="eastAsia" w:ascii="楷体_GB2312" w:hAnsi="楷体_GB2312" w:eastAsia="楷体_GB2312" w:cs="楷体_GB2312"/>
          <w:sz w:val="24"/>
          <w:szCs w:val="24"/>
          <w:highlight w:val="none"/>
        </w:rPr>
      </w:pPr>
      <w:r>
        <w:rPr>
          <w:rFonts w:hint="eastAsia" w:ascii="楷体_GB2312" w:hAnsi="楷体_GB2312" w:eastAsia="楷体_GB2312" w:cs="楷体_GB2312"/>
          <w:sz w:val="24"/>
          <w:szCs w:val="24"/>
          <w:highlight w:val="none"/>
          <w:lang w:val="en-US" w:eastAsia="zh-CN"/>
        </w:rPr>
        <w:t>报价</w:t>
      </w:r>
      <w:r>
        <w:rPr>
          <w:rFonts w:hint="eastAsia" w:ascii="楷体_GB2312" w:hAnsi="楷体_GB2312" w:eastAsia="楷体_GB2312" w:cs="楷体_GB2312"/>
          <w:sz w:val="24"/>
          <w:szCs w:val="24"/>
          <w:highlight w:val="none"/>
        </w:rPr>
        <w:t>承诺函</w:t>
      </w:r>
      <w:bookmarkEnd w:id="10"/>
      <w:bookmarkEnd w:id="11"/>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b w:val="0"/>
          <w:bCs/>
          <w:kern w:val="2"/>
          <w:sz w:val="24"/>
          <w:szCs w:val="24"/>
          <w:highlight w:val="none"/>
          <w:lang w:val="en-US" w:eastAsia="zh-CN" w:bidi="ar-SA"/>
        </w:rPr>
      </w:pPr>
      <w:r>
        <w:rPr>
          <w:rFonts w:hint="eastAsia" w:ascii="楷体" w:hAnsi="楷体" w:eastAsia="楷体" w:cs="楷体"/>
          <w:b w:val="0"/>
          <w:bCs/>
          <w:kern w:val="2"/>
          <w:sz w:val="24"/>
          <w:szCs w:val="24"/>
          <w:highlight w:val="none"/>
          <w:lang w:val="en-US" w:eastAsia="zh-CN" w:bidi="ar-SA"/>
        </w:rPr>
        <w:t>海南洋浦陆海国际贸易有限公司：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 xml:space="preserve">    我单位对贵单位所发的</w:t>
      </w:r>
      <w:r>
        <w:rPr>
          <w:rFonts w:hint="eastAsia" w:ascii="楷体" w:hAnsi="楷体" w:eastAsia="楷体" w:cs="楷体"/>
          <w:bCs/>
          <w:sz w:val="24"/>
          <w:szCs w:val="24"/>
          <w:highlight w:val="none"/>
          <w:lang w:val="en-US" w:eastAsia="zh-CN"/>
        </w:rPr>
        <w:t>询比价</w:t>
      </w:r>
      <w:r>
        <w:rPr>
          <w:rFonts w:hint="eastAsia" w:ascii="楷体" w:hAnsi="楷体" w:eastAsia="楷体" w:cs="楷体"/>
          <w:bCs/>
          <w:sz w:val="24"/>
          <w:szCs w:val="24"/>
          <w:highlight w:val="none"/>
        </w:rPr>
        <w:t>文件所有条款予以确认，并进一步承诺如下：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1、我单位所报的单价，已充分考虑了</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文件及采购合同要求</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单位应承担的所有义务及风险，由此造成或可能造成的费用我方已包含在报价中。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2、若我单位</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，除非贵单位要求，我单位将不主动要求调整采购合同条款。否则，贵单位可以随时取消我单位的</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3、我单位承诺不会因贵方对采购合同中的承包范围的调整而产生的异议。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4、我单位的《</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承诺函》，将作为合同的组成部分。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5、若我单位没有</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，我单位将不要求贵方做任何解释。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6、我单位理解贵单位不以最低价为</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价的唯一选择。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7、若我单位</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，我单位同意本确认函及所有文件作为合同的组成部分，与供货合同具有同样的法律效力。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8、我单位将严格按照</w:t>
      </w:r>
      <w:r>
        <w:rPr>
          <w:rFonts w:hint="eastAsia" w:ascii="楷体" w:hAnsi="楷体" w:eastAsia="楷体" w:cs="楷体"/>
          <w:bCs/>
          <w:sz w:val="24"/>
          <w:szCs w:val="24"/>
          <w:highlight w:val="none"/>
          <w:lang w:eastAsia="zh-CN"/>
        </w:rPr>
        <w:t>贵单位</w:t>
      </w:r>
      <w:r>
        <w:rPr>
          <w:rFonts w:hint="eastAsia" w:ascii="楷体" w:hAnsi="楷体" w:eastAsia="楷体" w:cs="楷体"/>
          <w:bCs/>
          <w:sz w:val="24"/>
          <w:szCs w:val="24"/>
          <w:highlight w:val="none"/>
        </w:rPr>
        <w:t>的要求提供工程所需材料</w:t>
      </w:r>
      <w:r>
        <w:rPr>
          <w:rFonts w:hint="eastAsia" w:ascii="楷体" w:hAnsi="楷体" w:eastAsia="楷体" w:cs="楷体"/>
          <w:bCs/>
          <w:sz w:val="24"/>
          <w:szCs w:val="24"/>
          <w:highlight w:val="none"/>
          <w:lang w:eastAsia="zh-CN"/>
        </w:rPr>
        <w:t>及品牌要求</w:t>
      </w:r>
      <w:r>
        <w:rPr>
          <w:rFonts w:hint="eastAsia" w:ascii="楷体" w:hAnsi="楷体" w:eastAsia="楷体" w:cs="楷体"/>
          <w:bCs/>
          <w:sz w:val="24"/>
          <w:szCs w:val="24"/>
          <w:highlight w:val="none"/>
        </w:rPr>
        <w:t>，在供货过程中</w:t>
      </w:r>
      <w:r>
        <w:rPr>
          <w:rFonts w:hint="eastAsia" w:ascii="楷体" w:hAnsi="楷体" w:eastAsia="楷体" w:cs="楷体"/>
          <w:bCs/>
          <w:sz w:val="24"/>
          <w:szCs w:val="24"/>
          <w:highlight w:val="none"/>
          <w:lang w:eastAsia="zh-CN"/>
        </w:rPr>
        <w:t>确保材料复试检测合格，如</w:t>
      </w:r>
      <w:r>
        <w:rPr>
          <w:rFonts w:hint="eastAsia" w:ascii="楷体" w:hAnsi="楷体" w:eastAsia="楷体" w:cs="楷体"/>
          <w:bCs/>
          <w:sz w:val="24"/>
          <w:szCs w:val="24"/>
          <w:highlight w:val="none"/>
        </w:rPr>
        <w:t>出现质量问题我单位将及时调换合格材料进场，如因材料质量问题而造成工期延误，我单位承诺接受</w:t>
      </w:r>
      <w:r>
        <w:rPr>
          <w:rFonts w:hint="eastAsia" w:ascii="楷体" w:hAnsi="楷体" w:eastAsia="楷体" w:cs="楷体"/>
          <w:bCs/>
          <w:sz w:val="24"/>
          <w:szCs w:val="24"/>
          <w:highlight w:val="none"/>
          <w:lang w:val="en-US" w:eastAsia="zh-CN"/>
        </w:rPr>
        <w:t>按照合同违约条款进行处罚</w:t>
      </w:r>
      <w:r>
        <w:rPr>
          <w:rFonts w:hint="eastAsia" w:ascii="楷体" w:hAnsi="楷体" w:eastAsia="楷体" w:cs="楷体"/>
          <w:bCs/>
          <w:sz w:val="24"/>
          <w:szCs w:val="24"/>
          <w:highlight w:val="none"/>
        </w:rPr>
        <w:t>，在供货过程中保证供应材料为</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文件中要求的厂家生产的合格材料，各类质量资料随货同行，并保证各类质量资料真实有效。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rPr>
        <w:t>9、在供应时间上将严格按项目要求时间组织材料进场，我单位的保证措施是根据进场时间和规格型号要求提前做好备料，确因某些型号材料短期缺货将积极配合项目与业主监理协商沟通进行替换。如因材料进场时间问题而造成工期延误，我单位承诺接受</w:t>
      </w:r>
      <w:r>
        <w:rPr>
          <w:rFonts w:hint="eastAsia" w:ascii="楷体" w:hAnsi="楷体" w:eastAsia="楷体" w:cs="楷体"/>
          <w:bCs/>
          <w:sz w:val="24"/>
          <w:szCs w:val="24"/>
          <w:highlight w:val="none"/>
          <w:lang w:val="en-US" w:eastAsia="zh-CN"/>
        </w:rPr>
        <w:t>按照合同违约条款进行处罚。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10、我单位将以良好的服务态度、饱满的工作热情和遵纪守法的工作作风做好对项目部的服务，认真履行项目部进场物资验收程序并积极配合进场物资的质量检查工作，让项目部满意，让贵司满意，让工程业主和监理满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11、我单位郑重承诺：我单位对</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单位提供的</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文件及合同条款完全接受和遵守。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highlight w:val="none"/>
        </w:rPr>
      </w:pPr>
      <w:r>
        <w:rPr>
          <w:rFonts w:hint="eastAsia" w:ascii="楷体" w:hAnsi="楷体" w:eastAsia="楷体" w:cs="楷体"/>
          <w:bCs/>
          <w:sz w:val="24"/>
          <w:szCs w:val="24"/>
          <w:highlight w:val="none"/>
        </w:rPr>
        <w:t>12、我单位承诺同意按照贵单位要求办理结算及支付方式；承诺按所提供本单位银行开户许可证的开户行名称及帐号接收结算款，保证不使用委托收款。</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单位：（章）</w:t>
      </w: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法人代表：（章）</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highlight w:val="none"/>
        </w:rPr>
      </w:pPr>
      <w:r>
        <w:rPr>
          <w:rFonts w:hint="eastAsia" w:ascii="楷体" w:hAnsi="楷体" w:eastAsia="楷体" w:cs="楷体"/>
          <w:bCs/>
          <w:sz w:val="24"/>
          <w:szCs w:val="24"/>
          <w:highlight w:val="none"/>
        </w:rPr>
        <w:t>日    期：</w:t>
      </w:r>
    </w:p>
    <w:p>
      <w:pPr>
        <w:rPr>
          <w:highlight w:val="none"/>
        </w:rPr>
      </w:pPr>
    </w:p>
    <w:p>
      <w:pPr>
        <w:pStyle w:val="3"/>
        <w:numPr>
          <w:ilvl w:val="0"/>
          <w:numId w:val="0"/>
        </w:numPr>
        <w:spacing w:before="0" w:line="240" w:lineRule="auto"/>
        <w:ind w:leftChars="0"/>
        <w:jc w:val="center"/>
        <w:rPr>
          <w:rFonts w:hint="eastAsia" w:ascii="楷体_GB2312" w:hAnsi="楷体_GB2312" w:eastAsia="楷体_GB2312" w:cs="楷体_GB2312"/>
          <w:sz w:val="24"/>
          <w:szCs w:val="24"/>
          <w:highlight w:val="none"/>
          <w:lang w:val="en-US" w:eastAsia="zh-CN"/>
        </w:rPr>
      </w:pPr>
      <w:bookmarkStart w:id="12" w:name="_Toc343700749"/>
      <w:bookmarkStart w:id="13" w:name="_Toc343692951"/>
    </w:p>
    <w:p>
      <w:pPr>
        <w:pStyle w:val="3"/>
        <w:numPr>
          <w:ilvl w:val="0"/>
          <w:numId w:val="0"/>
        </w:numPr>
        <w:spacing w:before="0" w:line="240" w:lineRule="auto"/>
        <w:ind w:leftChars="0"/>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六、</w:t>
      </w:r>
      <w:r>
        <w:rPr>
          <w:rFonts w:hint="eastAsia" w:ascii="楷体" w:hAnsi="楷体" w:eastAsia="楷体" w:cs="楷体"/>
          <w:sz w:val="24"/>
          <w:szCs w:val="24"/>
          <w:highlight w:val="none"/>
        </w:rPr>
        <w:t>法定代表人授权书</w:t>
      </w:r>
      <w:bookmarkEnd w:id="12"/>
      <w:bookmarkEnd w:id="13"/>
    </w:p>
    <w:p>
      <w:pPr>
        <w:adjustRightInd w:val="0"/>
        <w:snapToGrid w:val="0"/>
        <w:spacing w:line="480" w:lineRule="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致：</w:t>
      </w:r>
      <w:r>
        <w:rPr>
          <w:rFonts w:hint="eastAsia" w:ascii="楷体" w:hAnsi="楷体" w:eastAsia="楷体" w:cs="楷体"/>
          <w:sz w:val="24"/>
          <w:szCs w:val="24"/>
          <w:highlight w:val="none"/>
          <w:lang w:val="en-US" w:eastAsia="zh-CN"/>
        </w:rPr>
        <w:t>海南洋浦陆海国际贸易有限公司</w:t>
      </w:r>
    </w:p>
    <w:p>
      <w:pPr>
        <w:snapToGrid w:val="0"/>
        <w:spacing w:line="480" w:lineRule="auto"/>
        <w:ind w:firstLine="480" w:firstLineChars="200"/>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本授权书声明：位于</w:t>
      </w:r>
      <w:r>
        <w:rPr>
          <w:rFonts w:hint="eastAsia" w:ascii="楷体" w:hAnsi="楷体" w:eastAsia="楷体" w:cs="楷体"/>
          <w:sz w:val="24"/>
          <w:szCs w:val="24"/>
          <w:highlight w:val="none"/>
          <w:u w:val="single"/>
        </w:rPr>
        <w:t xml:space="preserve">（公司地址）               </w:t>
      </w:r>
      <w:r>
        <w:rPr>
          <w:rFonts w:hint="eastAsia" w:ascii="楷体" w:hAnsi="楷体" w:eastAsia="楷体" w:cs="楷体"/>
          <w:sz w:val="24"/>
          <w:szCs w:val="24"/>
          <w:highlight w:val="none"/>
        </w:rPr>
        <w:t>的</w:t>
      </w:r>
      <w:r>
        <w:rPr>
          <w:rFonts w:hint="eastAsia" w:ascii="楷体" w:hAnsi="楷体" w:eastAsia="楷体" w:cs="楷体"/>
          <w:sz w:val="24"/>
          <w:szCs w:val="24"/>
          <w:highlight w:val="none"/>
          <w:u w:val="single"/>
        </w:rPr>
        <w:t xml:space="preserve">（公司名称）    </w:t>
      </w:r>
      <w:r>
        <w:rPr>
          <w:rFonts w:hint="eastAsia" w:ascii="楷体" w:hAnsi="楷体" w:eastAsia="楷体" w:cs="楷体"/>
          <w:sz w:val="24"/>
          <w:szCs w:val="24"/>
          <w:highlight w:val="none"/>
        </w:rPr>
        <w:t>的</w:t>
      </w:r>
      <w:r>
        <w:rPr>
          <w:rFonts w:hint="eastAsia" w:ascii="楷体" w:hAnsi="楷体" w:eastAsia="楷体" w:cs="楷体"/>
          <w:sz w:val="24"/>
          <w:szCs w:val="24"/>
          <w:highlight w:val="none"/>
          <w:u w:val="single"/>
        </w:rPr>
        <w:t xml:space="preserve">（法定代表人姓名）      </w:t>
      </w:r>
      <w:r>
        <w:rPr>
          <w:rFonts w:hint="eastAsia" w:ascii="楷体" w:hAnsi="楷体" w:eastAsia="楷体" w:cs="楷体"/>
          <w:sz w:val="24"/>
          <w:szCs w:val="24"/>
          <w:highlight w:val="none"/>
        </w:rPr>
        <w:t>代表本公司授权</w:t>
      </w:r>
      <w:r>
        <w:rPr>
          <w:rFonts w:hint="eastAsia" w:ascii="楷体" w:hAnsi="楷体" w:eastAsia="楷体" w:cs="楷体"/>
          <w:sz w:val="24"/>
          <w:szCs w:val="24"/>
          <w:highlight w:val="none"/>
          <w:u w:val="single"/>
        </w:rPr>
        <w:t xml:space="preserve">（被授权人姓名）      </w:t>
      </w:r>
      <w:r>
        <w:rPr>
          <w:rFonts w:hint="eastAsia" w:ascii="楷体" w:hAnsi="楷体" w:eastAsia="楷体" w:cs="楷体"/>
          <w:sz w:val="24"/>
          <w:szCs w:val="24"/>
          <w:highlight w:val="none"/>
        </w:rPr>
        <w:t>为本公司的唯一合法代理人，代表本公司参加</w:t>
      </w:r>
      <w:r>
        <w:rPr>
          <w:rFonts w:hint="eastAsia" w:ascii="楷体" w:hAnsi="楷体" w:eastAsia="楷体" w:cs="楷体"/>
          <w:sz w:val="24"/>
          <w:szCs w:val="24"/>
          <w:highlight w:val="none"/>
          <w:lang w:val="en-US" w:eastAsia="zh-CN"/>
        </w:rPr>
        <w:t>海南洋浦陆海国际贸易有限公司</w:t>
      </w:r>
      <w:r>
        <w:rPr>
          <w:rFonts w:hint="eastAsia" w:ascii="楷体" w:hAnsi="楷体" w:eastAsia="楷体" w:cs="楷体"/>
          <w:sz w:val="24"/>
          <w:szCs w:val="24"/>
          <w:highlight w:val="none"/>
          <w:u w:val="single"/>
          <w:lang w:val="en-US" w:eastAsia="zh-CN"/>
        </w:rPr>
        <w:t>MPP管</w:t>
      </w:r>
      <w:r>
        <w:rPr>
          <w:rFonts w:hint="eastAsia" w:ascii="楷体" w:hAnsi="楷体" w:eastAsia="楷体" w:cs="楷体"/>
          <w:sz w:val="24"/>
          <w:szCs w:val="24"/>
          <w:highlight w:val="none"/>
        </w:rPr>
        <w:t>采购</w:t>
      </w:r>
      <w:r>
        <w:rPr>
          <w:rFonts w:hint="eastAsia" w:ascii="楷体" w:hAnsi="楷体" w:eastAsia="楷体" w:cs="楷体"/>
          <w:sz w:val="24"/>
          <w:szCs w:val="24"/>
          <w:highlight w:val="none"/>
          <w:lang w:eastAsia="zh-CN"/>
        </w:rPr>
        <w:t>询比价</w:t>
      </w:r>
      <w:r>
        <w:rPr>
          <w:rFonts w:hint="eastAsia" w:ascii="楷体" w:hAnsi="楷体" w:eastAsia="楷体" w:cs="楷体"/>
          <w:sz w:val="24"/>
          <w:szCs w:val="24"/>
          <w:highlight w:val="none"/>
        </w:rPr>
        <w:t>活动，并在整个</w:t>
      </w:r>
      <w:r>
        <w:rPr>
          <w:rFonts w:hint="eastAsia" w:ascii="楷体" w:hAnsi="楷体" w:eastAsia="楷体" w:cs="楷体"/>
          <w:sz w:val="24"/>
          <w:szCs w:val="24"/>
          <w:highlight w:val="none"/>
          <w:lang w:eastAsia="zh-CN"/>
        </w:rPr>
        <w:t>询比价</w:t>
      </w:r>
      <w:r>
        <w:rPr>
          <w:rFonts w:hint="eastAsia" w:ascii="楷体" w:hAnsi="楷体" w:eastAsia="楷体" w:cs="楷体"/>
          <w:sz w:val="24"/>
          <w:szCs w:val="24"/>
          <w:highlight w:val="none"/>
        </w:rPr>
        <w:t>采购活动中，以本公司名义全权处理包括递交企业和产品资质材料，确认相关信息，</w:t>
      </w:r>
      <w:r>
        <w:rPr>
          <w:rFonts w:hint="eastAsia" w:ascii="楷体" w:hAnsi="楷体" w:eastAsia="楷体" w:cs="楷体"/>
          <w:sz w:val="24"/>
          <w:szCs w:val="24"/>
          <w:highlight w:val="none"/>
          <w:lang w:eastAsia="zh-CN"/>
        </w:rPr>
        <w:t xml:space="preserve"> </w:t>
      </w:r>
      <w:r>
        <w:rPr>
          <w:rFonts w:hint="eastAsia" w:ascii="楷体" w:hAnsi="楷体" w:eastAsia="楷体" w:cs="楷体"/>
          <w:sz w:val="24"/>
          <w:szCs w:val="24"/>
          <w:highlight w:val="none"/>
        </w:rPr>
        <w:t>产品报价、议价，交纳相关费用，签订采购合同，执行和完成采购周期内的售后服务等一切与之有关的事务，并保证所提供的资质证明材料真实、合法、完整、有效。</w:t>
      </w:r>
    </w:p>
    <w:p>
      <w:pPr>
        <w:snapToGrid w:val="0"/>
        <w:spacing w:line="480" w:lineRule="auto"/>
        <w:ind w:firstLine="584"/>
        <w:jc w:val="left"/>
        <w:rPr>
          <w:rFonts w:hint="eastAsia" w:ascii="楷体" w:hAnsi="楷体" w:eastAsia="楷体" w:cs="楷体"/>
          <w:sz w:val="24"/>
          <w:szCs w:val="24"/>
          <w:highlight w:val="none"/>
        </w:rPr>
      </w:pPr>
    </w:p>
    <w:p>
      <w:pPr>
        <w:snapToGrid w:val="0"/>
        <w:spacing w:line="480" w:lineRule="auto"/>
        <w:ind w:firstLine="600" w:firstLineChars="25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本授权书于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年   月   日签字生效，特此声明。</w:t>
      </w:r>
    </w:p>
    <w:p>
      <w:pPr>
        <w:spacing w:line="480" w:lineRule="auto"/>
        <w:ind w:firstLine="616" w:firstLineChars="257"/>
        <w:rPr>
          <w:rFonts w:hint="eastAsia" w:ascii="楷体" w:hAnsi="楷体" w:eastAsia="楷体" w:cs="楷体"/>
          <w:sz w:val="24"/>
          <w:szCs w:val="24"/>
          <w:highlight w:val="none"/>
        </w:rPr>
      </w:pPr>
      <w:r>
        <w:rPr>
          <w:rFonts w:hint="eastAsia" w:ascii="楷体" w:hAnsi="楷体" w:eastAsia="楷体" w:cs="楷体"/>
          <w:sz w:val="24"/>
          <w:szCs w:val="24"/>
          <w:highlight w:val="none"/>
        </w:rPr>
        <w:t>授权期限为：   年   月   日起至本次采购期结束。授权期限内无特殊情况不变更合法代理人（被授权人）。</w:t>
      </w:r>
    </w:p>
    <w:p>
      <w:pPr>
        <w:snapToGrid w:val="0"/>
        <w:spacing w:line="480" w:lineRule="auto"/>
        <w:ind w:firstLine="480" w:firstLineChars="2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p>
    <w:p>
      <w:pPr>
        <w:snapToGrid w:val="0"/>
        <w:spacing w:line="480" w:lineRule="auto"/>
        <w:ind w:firstLine="480" w:firstLineChars="200"/>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法定代表人(签字)</w:t>
      </w:r>
      <w:r>
        <w:rPr>
          <w:rFonts w:hint="eastAsia" w:ascii="楷体" w:hAnsi="楷体" w:eastAsia="楷体" w:cs="楷体"/>
          <w:sz w:val="24"/>
          <w:szCs w:val="24"/>
          <w:highlight w:val="none"/>
          <w:lang w:eastAsia="zh-CN"/>
        </w:rPr>
        <w:t>：</w:t>
      </w:r>
    </w:p>
    <w:p>
      <w:pPr>
        <w:snapToGrid w:val="0"/>
        <w:spacing w:line="480" w:lineRule="auto"/>
        <w:ind w:firstLine="480" w:firstLineChars="200"/>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被授权人(签字)</w:t>
      </w:r>
      <w:r>
        <w:rPr>
          <w:rFonts w:hint="eastAsia" w:ascii="楷体" w:hAnsi="楷体" w:eastAsia="楷体" w:cs="楷体"/>
          <w:sz w:val="24"/>
          <w:szCs w:val="24"/>
          <w:highlight w:val="none"/>
          <w:lang w:val="en-US" w:eastAsia="zh-CN"/>
        </w:rPr>
        <w:t>：</w:t>
      </w:r>
    </w:p>
    <w:p>
      <w:pPr>
        <w:snapToGrid w:val="0"/>
        <w:spacing w:line="480" w:lineRule="auto"/>
        <w:ind w:firstLine="480" w:firstLineChars="2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授权单位名称（盖章）</w:t>
      </w:r>
    </w:p>
    <w:p>
      <w:pPr>
        <w:snapToGrid w:val="0"/>
        <w:spacing w:line="480" w:lineRule="auto"/>
        <w:ind w:firstLine="480" w:firstLineChars="200"/>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联系电话</w:t>
      </w:r>
      <w:r>
        <w:rPr>
          <w:rFonts w:hint="eastAsia" w:ascii="楷体" w:hAnsi="楷体" w:eastAsia="楷体" w:cs="楷体"/>
          <w:sz w:val="24"/>
          <w:szCs w:val="24"/>
          <w:highlight w:val="none"/>
          <w:lang w:eastAsia="zh-CN"/>
        </w:rPr>
        <w:t>：</w:t>
      </w:r>
    </w:p>
    <w:p>
      <w:pPr>
        <w:pStyle w:val="25"/>
        <w:spacing w:line="360" w:lineRule="auto"/>
        <w:ind w:firstLine="0" w:firstLineChars="0"/>
        <w:jc w:val="both"/>
        <w:rPr>
          <w:rFonts w:hint="eastAsia" w:ascii="楷体_GB2312" w:hAnsi="楷体_GB2312" w:eastAsia="楷体_GB2312" w:cs="楷体_GB2312"/>
          <w:b/>
          <w:bCs/>
          <w:kern w:val="44"/>
          <w:sz w:val="24"/>
          <w:szCs w:val="24"/>
          <w:highlight w:val="none"/>
        </w:rPr>
      </w:pPr>
    </w:p>
    <w:p>
      <w:pPr>
        <w:pStyle w:val="25"/>
        <w:spacing w:line="360" w:lineRule="auto"/>
        <w:ind w:firstLine="0" w:firstLineChars="0"/>
        <w:jc w:val="both"/>
        <w:rPr>
          <w:rFonts w:hint="eastAsia" w:ascii="楷体_GB2312" w:hAnsi="楷体_GB2312" w:eastAsia="楷体_GB2312" w:cs="楷体_GB2312"/>
          <w:b/>
          <w:bCs/>
          <w:kern w:val="44"/>
          <w:sz w:val="24"/>
          <w:szCs w:val="24"/>
          <w:highlight w:val="none"/>
        </w:rPr>
      </w:pPr>
    </w:p>
    <w:p>
      <w:pPr>
        <w:pStyle w:val="25"/>
        <w:spacing w:line="360" w:lineRule="auto"/>
        <w:ind w:firstLine="0" w:firstLineChars="0"/>
        <w:jc w:val="both"/>
        <w:rPr>
          <w:rFonts w:hint="eastAsia" w:ascii="楷体_GB2312" w:hAnsi="楷体_GB2312" w:eastAsia="楷体_GB2312" w:cs="楷体_GB2312"/>
          <w:b/>
          <w:bCs/>
          <w:kern w:val="44"/>
          <w:sz w:val="24"/>
          <w:szCs w:val="24"/>
          <w:highlight w:val="none"/>
        </w:rPr>
      </w:pPr>
    </w:p>
    <w:p>
      <w:pPr>
        <w:pStyle w:val="25"/>
        <w:spacing w:line="360" w:lineRule="auto"/>
        <w:ind w:firstLine="0" w:firstLineChars="0"/>
        <w:jc w:val="both"/>
        <w:rPr>
          <w:rFonts w:hint="eastAsia" w:ascii="楷体_GB2312" w:hAnsi="楷体_GB2312" w:eastAsia="楷体_GB2312" w:cs="楷体_GB2312"/>
          <w:b/>
          <w:bCs/>
          <w:kern w:val="44"/>
          <w:sz w:val="24"/>
          <w:szCs w:val="24"/>
          <w:highlight w:val="none"/>
        </w:rPr>
      </w:pPr>
    </w:p>
    <w:p>
      <w:pPr>
        <w:pStyle w:val="25"/>
        <w:spacing w:line="360" w:lineRule="auto"/>
        <w:ind w:firstLine="0" w:firstLineChars="0"/>
        <w:jc w:val="both"/>
        <w:rPr>
          <w:rFonts w:hint="eastAsia" w:ascii="楷体_GB2312" w:hAnsi="楷体_GB2312" w:eastAsia="楷体_GB2312" w:cs="楷体_GB2312"/>
          <w:b/>
          <w:bCs/>
          <w:kern w:val="44"/>
          <w:sz w:val="24"/>
          <w:szCs w:val="24"/>
          <w:highlight w:val="none"/>
        </w:rPr>
      </w:pPr>
    </w:p>
    <w:p>
      <w:pPr>
        <w:pStyle w:val="25"/>
        <w:spacing w:line="360" w:lineRule="auto"/>
        <w:ind w:firstLine="0" w:firstLineChars="0"/>
        <w:jc w:val="both"/>
        <w:rPr>
          <w:rFonts w:hint="eastAsia" w:ascii="楷体_GB2312" w:hAnsi="楷体_GB2312" w:eastAsia="楷体_GB2312" w:cs="楷体_GB2312"/>
          <w:b/>
          <w:bCs/>
          <w:kern w:val="44"/>
          <w:sz w:val="24"/>
          <w:szCs w:val="24"/>
          <w:highlight w:val="none"/>
        </w:rPr>
      </w:pPr>
    </w:p>
    <w:p>
      <w:pPr>
        <w:pStyle w:val="25"/>
        <w:spacing w:line="360" w:lineRule="auto"/>
        <w:ind w:firstLine="0" w:firstLineChars="0"/>
        <w:jc w:val="center"/>
        <w:rPr>
          <w:rFonts w:hint="eastAsia" w:ascii="楷体" w:hAnsi="楷体" w:eastAsia="楷体" w:cs="楷体"/>
          <w:b/>
          <w:bCs/>
          <w:kern w:val="44"/>
          <w:sz w:val="24"/>
          <w:szCs w:val="24"/>
          <w:highlight w:val="none"/>
        </w:rPr>
      </w:pPr>
      <w:r>
        <w:rPr>
          <w:rFonts w:hint="eastAsia" w:ascii="楷体" w:hAnsi="楷体" w:eastAsia="楷体" w:cs="楷体"/>
          <w:b/>
          <w:bCs/>
          <w:kern w:val="44"/>
          <w:sz w:val="24"/>
          <w:szCs w:val="24"/>
          <w:highlight w:val="none"/>
        </w:rPr>
        <w:t>第三章报价书</w:t>
      </w:r>
    </w:p>
    <w:p>
      <w:pPr>
        <w:pStyle w:val="25"/>
        <w:keepNext w:val="0"/>
        <w:keepLines w:val="0"/>
        <w:pageBreakBefore w:val="0"/>
        <w:numPr>
          <w:ilvl w:val="0"/>
          <w:numId w:val="3"/>
        </w:numPr>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highlight w:val="none"/>
        </w:rPr>
      </w:pPr>
      <w:r>
        <w:rPr>
          <w:rFonts w:hint="eastAsia" w:ascii="楷体" w:hAnsi="楷体" w:eastAsia="楷体" w:cs="楷体"/>
          <w:sz w:val="24"/>
          <w:szCs w:val="24"/>
          <w:highlight w:val="none"/>
        </w:rPr>
        <w:t>本合同计价货币、结算货币和支付货币均为人民币。</w:t>
      </w:r>
    </w:p>
    <w:p>
      <w:pPr>
        <w:pStyle w:val="25"/>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0" w:firstLineChars="0"/>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付款方式见1.3，</w:t>
      </w:r>
      <w:r>
        <w:rPr>
          <w:rFonts w:hint="eastAsia" w:ascii="楷体" w:hAnsi="楷体" w:eastAsia="楷体" w:cs="楷体"/>
          <w:sz w:val="24"/>
          <w:szCs w:val="24"/>
          <w:highlight w:val="none"/>
        </w:rPr>
        <w:t>货物</w:t>
      </w:r>
      <w:r>
        <w:rPr>
          <w:rFonts w:hint="eastAsia" w:ascii="楷体" w:hAnsi="楷体" w:eastAsia="楷体" w:cs="楷体"/>
          <w:sz w:val="24"/>
          <w:szCs w:val="24"/>
          <w:highlight w:val="none"/>
          <w:lang w:val="en-US" w:eastAsia="zh-CN"/>
        </w:rPr>
        <w:t>固定价</w:t>
      </w:r>
      <w:r>
        <w:rPr>
          <w:rFonts w:hint="eastAsia" w:ascii="楷体" w:hAnsi="楷体" w:eastAsia="楷体" w:cs="楷体"/>
          <w:sz w:val="24"/>
          <w:szCs w:val="24"/>
          <w:highlight w:val="none"/>
        </w:rPr>
        <w:t>，具体单价细目详见下表。</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金额单位：元</w:t>
      </w:r>
      <w:r>
        <w:rPr>
          <w:rFonts w:hint="eastAsia" w:ascii="楷体" w:hAnsi="楷体" w:eastAsia="楷体" w:cs="楷体"/>
          <w:sz w:val="24"/>
          <w:szCs w:val="24"/>
          <w:highlight w:val="none"/>
          <w:lang w:eastAsia="zh-CN"/>
        </w:rPr>
        <w:t>）</w:t>
      </w:r>
    </w:p>
    <w:tbl>
      <w:tblPr>
        <w:tblStyle w:val="17"/>
        <w:tblW w:w="94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3"/>
        <w:gridCol w:w="1065"/>
        <w:gridCol w:w="1192"/>
        <w:gridCol w:w="584"/>
        <w:gridCol w:w="1039"/>
        <w:gridCol w:w="1039"/>
        <w:gridCol w:w="1447"/>
        <w:gridCol w:w="1039"/>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序号</w:t>
            </w:r>
          </w:p>
        </w:tc>
        <w:tc>
          <w:tcPr>
            <w:tcW w:w="106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名称</w:t>
            </w:r>
          </w:p>
        </w:tc>
        <w:tc>
          <w:tcPr>
            <w:tcW w:w="119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规格型号</w:t>
            </w:r>
          </w:p>
        </w:tc>
        <w:tc>
          <w:tcPr>
            <w:tcW w:w="58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单位</w:t>
            </w:r>
          </w:p>
        </w:tc>
        <w:tc>
          <w:tcPr>
            <w:tcW w:w="10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暂定数量</w:t>
            </w:r>
          </w:p>
        </w:tc>
        <w:tc>
          <w:tcPr>
            <w:tcW w:w="10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不含税单价</w:t>
            </w:r>
          </w:p>
        </w:tc>
        <w:tc>
          <w:tcPr>
            <w:tcW w:w="144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税费</w:t>
            </w:r>
          </w:p>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（税率13%）</w:t>
            </w:r>
          </w:p>
        </w:tc>
        <w:tc>
          <w:tcPr>
            <w:tcW w:w="10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含税单价</w:t>
            </w:r>
          </w:p>
        </w:tc>
        <w:tc>
          <w:tcPr>
            <w:tcW w:w="104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2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1</w:t>
            </w:r>
          </w:p>
        </w:tc>
        <w:tc>
          <w:tcPr>
            <w:tcW w:w="10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MPP拖拉管</w:t>
            </w:r>
          </w:p>
        </w:tc>
        <w:tc>
          <w:tcPr>
            <w:tcW w:w="11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DN160/12mm</w:t>
            </w:r>
          </w:p>
        </w:tc>
        <w:tc>
          <w:tcPr>
            <w:tcW w:w="5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m</w:t>
            </w:r>
          </w:p>
        </w:tc>
        <w:tc>
          <w:tcPr>
            <w:tcW w:w="10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2251.27</w:t>
            </w:r>
          </w:p>
        </w:tc>
        <w:tc>
          <w:tcPr>
            <w:tcW w:w="1039"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1447"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1039"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1040"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02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2</w:t>
            </w:r>
          </w:p>
        </w:tc>
        <w:tc>
          <w:tcPr>
            <w:tcW w:w="106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合计</w:t>
            </w:r>
          </w:p>
        </w:tc>
        <w:tc>
          <w:tcPr>
            <w:tcW w:w="11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p>
        </w:tc>
        <w:tc>
          <w:tcPr>
            <w:tcW w:w="58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p>
        </w:tc>
        <w:tc>
          <w:tcPr>
            <w:tcW w:w="1039"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lang w:val="en-US" w:eastAsia="zh-CN"/>
              </w:rPr>
            </w:pPr>
          </w:p>
        </w:tc>
        <w:tc>
          <w:tcPr>
            <w:tcW w:w="1039"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rPr>
            </w:pPr>
          </w:p>
        </w:tc>
        <w:tc>
          <w:tcPr>
            <w:tcW w:w="1447"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rPr>
            </w:pPr>
          </w:p>
        </w:tc>
        <w:tc>
          <w:tcPr>
            <w:tcW w:w="1039"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rPr>
            </w:pPr>
          </w:p>
        </w:tc>
        <w:tc>
          <w:tcPr>
            <w:tcW w:w="1040"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68"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注：1、具体以到场实际合格物资数量为准办理结算；卖方不得以本表价款与买方发生任何经济与法律纠纷，否则视为卖方违约。</w:t>
            </w:r>
          </w:p>
        </w:tc>
      </w:tr>
    </w:tbl>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 w:hAnsi="楷体" w:eastAsia="楷体" w:cs="楷体"/>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1.1本报价是含税到场综合价，包含货物价款、供应商出售该物资应缴纳税金及一切税费、包装费、保险费、运输费、装车费，以及其他运抵至甲方指定交货地点的一切费用；包括售后服务以及市场价格涨幅等的各类风险费用；以及其他所有相关服务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1.2计量方式：按实计量，以检尺点数结合的方式验收。</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1.3付款方式：月结，当月20日至次月19日为一个结算周期。乙方将货物运至项目地点，结算周期结束后5日内双方就供应合格物资对账办理结算；对账结算完毕，乙方提交对应金额的发票，甲方收到发票后15个工作日内以包括但不限于现金、银行转账、银行承兑汇票等支付该月结算物资价款的97%，剩余3%作为质保金在质保期结束后无息支付给乙方。（如甲方以银行承兑方式支付货款的，承兑贴现利息由甲方承担）</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 w:hAnsi="楷体" w:eastAsia="楷体" w:cs="楷体"/>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 w:hAnsi="楷体" w:eastAsia="楷体" w:cs="楷体"/>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_GB2312" w:hAnsi="楷体_GB2312" w:eastAsia="楷体_GB2312" w:cs="楷体_GB2312"/>
          <w:sz w:val="24"/>
          <w:szCs w:val="24"/>
          <w:highlight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 w:hAnsi="楷体" w:eastAsia="楷体" w:cs="楷体"/>
          <w:sz w:val="24"/>
          <w:szCs w:val="24"/>
          <w:highlight w:val="none"/>
          <w:lang w:val="en-US" w:eastAsia="zh-CN"/>
        </w:rPr>
        <w:sectPr>
          <w:pgSz w:w="11906" w:h="16838"/>
          <w:pgMar w:top="1440" w:right="1800" w:bottom="1247" w:left="1800" w:header="851" w:footer="992" w:gutter="0"/>
          <w:cols w:space="0" w:num="1"/>
          <w:docGrid w:type="lines" w:linePitch="312" w:charSpace="0"/>
        </w:sectPr>
      </w:pPr>
      <w:r>
        <w:rPr>
          <w:rFonts w:hint="eastAsia" w:ascii="楷体" w:hAnsi="楷体" w:eastAsia="楷体" w:cs="楷体"/>
          <w:sz w:val="24"/>
          <w:szCs w:val="24"/>
          <w:highlight w:val="none"/>
          <w:lang w:val="en-US" w:eastAsia="zh-CN"/>
        </w:rPr>
        <w:t>类似合同业绩页</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MPP第三方检测报告</w:t>
      </w:r>
    </w:p>
    <w:p>
      <w:pPr>
        <w:pStyle w:val="2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楷体_GB2312" w:hAnsi="楷体_GB2312" w:eastAsia="楷体_GB2312" w:cs="楷体_GB2312"/>
          <w:i w:val="0"/>
          <w:iCs w:val="0"/>
          <w:sz w:val="24"/>
          <w:szCs w:val="24"/>
          <w:highlight w:val="none"/>
          <w:lang w:val="en-US" w:eastAsia="zh-CN"/>
        </w:rPr>
      </w:pPr>
    </w:p>
    <w:p>
      <w:pPr>
        <w:pStyle w:val="4"/>
        <w:rPr>
          <w:rFonts w:hint="default"/>
          <w:highlight w:val="none"/>
          <w:lang w:val="en-US" w:eastAsia="zh-CN"/>
        </w:rPr>
        <w:sectPr>
          <w:pgSz w:w="11906" w:h="16838"/>
          <w:pgMar w:top="1440" w:right="1800" w:bottom="1247" w:left="1800" w:header="851" w:footer="992" w:gutter="0"/>
          <w:cols w:space="0" w:num="1"/>
          <w:docGrid w:type="lines" w:linePitch="312" w:charSpace="0"/>
        </w:sectPr>
      </w:pPr>
    </w:p>
    <w:p>
      <w:pPr>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default"/>
          <w:highlight w:val="none"/>
          <w:lang w:val="en-US" w:eastAsia="zh-CN"/>
        </w:rPr>
      </w:pPr>
    </w:p>
    <w:p>
      <w:pPr>
        <w:jc w:val="center"/>
        <w:rPr>
          <w:rFonts w:hint="default" w:ascii="仿宋" w:hAnsi="仿宋" w:eastAsia="宋体" w:cs="仿宋"/>
          <w:b/>
          <w:color w:val="000000"/>
          <w:sz w:val="44"/>
          <w:szCs w:val="44"/>
          <w:highlight w:val="none"/>
          <w:lang w:val="en-US" w:eastAsia="zh-CN"/>
        </w:rPr>
      </w:pPr>
      <w:r>
        <w:rPr>
          <w:rFonts w:hint="eastAsia" w:ascii="宋体" w:hAnsi="宋体" w:cs="宋体"/>
          <w:b/>
          <w:color w:val="000000"/>
          <w:sz w:val="44"/>
          <w:szCs w:val="44"/>
          <w:highlight w:val="none"/>
          <w:lang w:val="en-US" w:eastAsia="zh-CN"/>
        </w:rPr>
        <w:t>环湾滨海新区港产城融合配套基础设施项目-六标段规划九路、规划九路北延段MPP管采购协议</w:t>
      </w:r>
    </w:p>
    <w:p>
      <w:pPr>
        <w:jc w:val="center"/>
        <w:rPr>
          <w:rFonts w:hint="eastAsia" w:ascii="仿宋" w:hAnsi="仿宋" w:eastAsia="仿宋" w:cs="仿宋"/>
          <w:b/>
          <w:color w:val="000000"/>
          <w:sz w:val="44"/>
          <w:szCs w:val="44"/>
          <w:highlight w:val="none"/>
        </w:rPr>
      </w:pPr>
    </w:p>
    <w:p>
      <w:pPr>
        <w:jc w:val="center"/>
        <w:rPr>
          <w:rFonts w:hint="eastAsia" w:ascii="仿宋" w:hAnsi="仿宋" w:eastAsia="仿宋" w:cs="仿宋"/>
          <w:b/>
          <w:color w:val="000000"/>
          <w:sz w:val="44"/>
          <w:szCs w:val="44"/>
          <w:highlight w:val="none"/>
        </w:rPr>
      </w:pPr>
    </w:p>
    <w:p>
      <w:pPr>
        <w:jc w:val="center"/>
        <w:rPr>
          <w:rFonts w:hint="eastAsia" w:ascii="仿宋" w:hAnsi="仿宋" w:eastAsia="仿宋" w:cs="仿宋"/>
          <w:b/>
          <w:color w:val="000000"/>
          <w:sz w:val="44"/>
          <w:szCs w:val="44"/>
          <w:highlight w:val="none"/>
        </w:rPr>
      </w:pPr>
    </w:p>
    <w:p>
      <w:pPr>
        <w:jc w:val="center"/>
        <w:rPr>
          <w:rFonts w:hint="eastAsia" w:ascii="仿宋" w:hAnsi="仿宋" w:eastAsia="仿宋" w:cs="仿宋"/>
          <w:b/>
          <w:color w:val="000000"/>
          <w:sz w:val="44"/>
          <w:szCs w:val="44"/>
          <w:highlight w:val="none"/>
        </w:rPr>
      </w:pPr>
    </w:p>
    <w:p>
      <w:pPr>
        <w:jc w:val="center"/>
        <w:rPr>
          <w:rFonts w:hint="eastAsia" w:ascii="仿宋" w:hAnsi="仿宋" w:eastAsia="仿宋" w:cs="仿宋"/>
          <w:b/>
          <w:color w:val="000000"/>
          <w:sz w:val="44"/>
          <w:szCs w:val="44"/>
          <w:highlight w:val="none"/>
        </w:rPr>
      </w:pPr>
    </w:p>
    <w:p>
      <w:pPr>
        <w:pStyle w:val="4"/>
        <w:numPr>
          <w:ilvl w:val="0"/>
          <w:numId w:val="0"/>
        </w:numPr>
        <w:tabs>
          <w:tab w:val="left" w:pos="992"/>
        </w:tabs>
        <w:ind w:left="0" w:firstLine="0"/>
        <w:rPr>
          <w:rFonts w:hint="default" w:ascii="宋体"/>
          <w:sz w:val="20"/>
          <w:szCs w:val="32"/>
          <w:highlight w:val="none"/>
        </w:rPr>
      </w:pPr>
    </w:p>
    <w:p>
      <w:pPr>
        <w:rPr>
          <w:rFonts w:hint="default" w:ascii="宋体"/>
          <w:sz w:val="21"/>
          <w:szCs w:val="24"/>
          <w:highlight w:val="none"/>
        </w:rPr>
      </w:pPr>
    </w:p>
    <w:p>
      <w:pPr>
        <w:pStyle w:val="4"/>
        <w:numPr>
          <w:ilvl w:val="0"/>
          <w:numId w:val="0"/>
        </w:numPr>
        <w:tabs>
          <w:tab w:val="left" w:pos="992"/>
        </w:tabs>
        <w:ind w:left="0" w:firstLine="0"/>
        <w:rPr>
          <w:rFonts w:hint="default" w:ascii="宋体"/>
          <w:sz w:val="20"/>
          <w:szCs w:val="32"/>
          <w:highlight w:val="none"/>
        </w:rPr>
      </w:pPr>
    </w:p>
    <w:p>
      <w:pPr>
        <w:rPr>
          <w:rFonts w:hint="default" w:ascii="宋体"/>
          <w:sz w:val="20"/>
          <w:szCs w:val="32"/>
          <w:highlight w:val="none"/>
        </w:rPr>
      </w:pPr>
    </w:p>
    <w:p>
      <w:pPr>
        <w:pStyle w:val="4"/>
        <w:numPr>
          <w:ilvl w:val="2"/>
          <w:numId w:val="0"/>
        </w:numPr>
        <w:tabs>
          <w:tab w:val="left" w:pos="992"/>
        </w:tabs>
        <w:ind w:leftChars="0"/>
        <w:rPr>
          <w:rFonts w:hint="default"/>
          <w:highlight w:val="none"/>
        </w:rPr>
      </w:pPr>
    </w:p>
    <w:p>
      <w:pPr>
        <w:rPr>
          <w:rFonts w:hint="default" w:ascii="宋体"/>
          <w:sz w:val="20"/>
          <w:szCs w:val="32"/>
          <w:highlight w:val="none"/>
        </w:rPr>
      </w:pPr>
    </w:p>
    <w:p>
      <w:pPr>
        <w:pStyle w:val="4"/>
        <w:numPr>
          <w:ilvl w:val="2"/>
          <w:numId w:val="0"/>
        </w:numPr>
        <w:tabs>
          <w:tab w:val="left" w:pos="992"/>
        </w:tabs>
        <w:ind w:leftChars="0"/>
        <w:rPr>
          <w:rFonts w:hint="default"/>
          <w:highlight w:val="none"/>
        </w:rPr>
      </w:pPr>
    </w:p>
    <w:p>
      <w:pPr>
        <w:rPr>
          <w:rFonts w:hint="default" w:ascii="宋体"/>
          <w:sz w:val="21"/>
          <w:szCs w:val="24"/>
          <w:highlight w:val="none"/>
        </w:rPr>
      </w:pPr>
    </w:p>
    <w:p>
      <w:pPr>
        <w:tabs>
          <w:tab w:val="left" w:pos="992"/>
        </w:tabs>
        <w:ind w:firstLine="600" w:firstLineChars="200"/>
        <w:jc w:val="left"/>
        <w:rPr>
          <w:rFonts w:hint="eastAsia" w:ascii="仿宋" w:hAnsi="仿宋" w:eastAsia="仿宋" w:cs="仿宋"/>
          <w:color w:val="000000"/>
          <w:sz w:val="30"/>
          <w:szCs w:val="24"/>
          <w:highlight w:val="none"/>
        </w:rPr>
      </w:pPr>
      <w:bookmarkStart w:id="14" w:name="_Toc306782765"/>
      <w:r>
        <w:rPr>
          <w:rFonts w:hint="eastAsia" w:ascii="仿宋" w:hAnsi="仿宋" w:eastAsia="仿宋" w:cs="仿宋"/>
          <w:color w:val="000000"/>
          <w:sz w:val="30"/>
          <w:szCs w:val="24"/>
          <w:highlight w:val="none"/>
        </w:rPr>
        <w:t>甲方（采购方）：</w:t>
      </w:r>
      <w:r>
        <w:rPr>
          <w:rFonts w:hint="eastAsia" w:ascii="仿宋" w:hAnsi="仿宋" w:eastAsia="仿宋" w:cs="仿宋"/>
          <w:color w:val="000000"/>
          <w:sz w:val="30"/>
          <w:szCs w:val="24"/>
          <w:highlight w:val="none"/>
          <w:u w:val="single"/>
        </w:rPr>
        <w:t>海南洋浦陆海国际贸易有限公司</w:t>
      </w:r>
    </w:p>
    <w:p>
      <w:pPr>
        <w:tabs>
          <w:tab w:val="left" w:pos="992"/>
        </w:tabs>
        <w:ind w:firstLine="600" w:firstLineChars="200"/>
        <w:jc w:val="left"/>
        <w:rPr>
          <w:rFonts w:hint="default" w:ascii="仿宋" w:hAnsi="仿宋" w:eastAsia="仿宋" w:cs="仿宋"/>
          <w:color w:val="000000"/>
          <w:sz w:val="30"/>
          <w:szCs w:val="24"/>
          <w:highlight w:val="none"/>
          <w:u w:val="single"/>
          <w:lang w:val="en-US" w:eastAsia="zh-CN"/>
        </w:rPr>
      </w:pPr>
      <w:r>
        <w:rPr>
          <w:rFonts w:hint="eastAsia" w:ascii="仿宋" w:hAnsi="仿宋" w:eastAsia="仿宋" w:cs="仿宋"/>
          <w:color w:val="000000"/>
          <w:sz w:val="30"/>
          <w:szCs w:val="24"/>
          <w:highlight w:val="none"/>
        </w:rPr>
        <w:t>乙方（供应商）：</w:t>
      </w:r>
      <w:r>
        <w:rPr>
          <w:rFonts w:hint="eastAsia" w:ascii="仿宋" w:hAnsi="仿宋" w:eastAsia="仿宋" w:cs="仿宋"/>
          <w:color w:val="000000"/>
          <w:sz w:val="30"/>
          <w:szCs w:val="24"/>
          <w:highlight w:val="none"/>
          <w:u w:val="single"/>
          <w:lang w:val="en-US" w:eastAsia="zh-CN"/>
        </w:rPr>
        <w:t xml:space="preserve">                          </w:t>
      </w:r>
    </w:p>
    <w:p>
      <w:pPr>
        <w:tabs>
          <w:tab w:val="left" w:pos="992"/>
        </w:tabs>
        <w:ind w:left="2096" w:leftChars="284" w:hanging="1500" w:hangingChars="500"/>
        <w:jc w:val="left"/>
        <w:rPr>
          <w:rFonts w:hint="eastAsia" w:ascii="仿宋" w:hAnsi="仿宋" w:eastAsia="仿宋" w:cs="仿宋"/>
          <w:color w:val="000000"/>
          <w:sz w:val="30"/>
          <w:szCs w:val="24"/>
          <w:highlight w:val="none"/>
          <w:u w:val="single"/>
        </w:rPr>
      </w:pPr>
      <w:r>
        <w:rPr>
          <w:rFonts w:hint="eastAsia" w:ascii="仿宋" w:hAnsi="仿宋" w:eastAsia="仿宋" w:cs="仿宋"/>
          <w:color w:val="000000"/>
          <w:sz w:val="30"/>
          <w:szCs w:val="24"/>
          <w:highlight w:val="none"/>
        </w:rPr>
        <w:t>签约地点：</w:t>
      </w:r>
      <w:r>
        <w:rPr>
          <w:rFonts w:hint="eastAsia" w:ascii="仿宋" w:hAnsi="仿宋" w:eastAsia="仿宋" w:cs="仿宋"/>
          <w:color w:val="000000"/>
          <w:sz w:val="30"/>
          <w:szCs w:val="24"/>
          <w:highlight w:val="none"/>
          <w:u w:val="single"/>
          <w:lang w:val="en-US" w:eastAsia="zh-CN"/>
        </w:rPr>
        <w:t>海南省儋州市洋浦经济开发区洋浦国际商业大厦</w:t>
      </w:r>
    </w:p>
    <w:p>
      <w:pPr>
        <w:tabs>
          <w:tab w:val="left" w:pos="992"/>
        </w:tabs>
        <w:ind w:firstLine="600" w:firstLineChars="200"/>
        <w:jc w:val="left"/>
        <w:rPr>
          <w:rFonts w:hint="eastAsia" w:ascii="仿宋" w:hAnsi="仿宋" w:eastAsia="仿宋" w:cs="仿宋"/>
          <w:color w:val="000000"/>
          <w:sz w:val="24"/>
          <w:szCs w:val="24"/>
          <w:highlight w:val="none"/>
        </w:rPr>
      </w:pPr>
      <w:r>
        <w:rPr>
          <w:rFonts w:hint="eastAsia" w:ascii="仿宋" w:hAnsi="仿宋" w:eastAsia="仿宋" w:cs="仿宋"/>
          <w:color w:val="000000"/>
          <w:sz w:val="30"/>
          <w:szCs w:val="24"/>
          <w:highlight w:val="none"/>
          <w:u w:val="single"/>
        </w:rPr>
        <w:t>签约时间：202</w:t>
      </w:r>
      <w:r>
        <w:rPr>
          <w:rFonts w:hint="eastAsia" w:ascii="仿宋" w:hAnsi="仿宋" w:eastAsia="仿宋" w:cs="仿宋"/>
          <w:color w:val="000000"/>
          <w:sz w:val="30"/>
          <w:szCs w:val="24"/>
          <w:highlight w:val="none"/>
          <w:u w:val="single"/>
          <w:lang w:val="en-US" w:eastAsia="zh-CN"/>
        </w:rPr>
        <w:t>4</w:t>
      </w:r>
      <w:r>
        <w:rPr>
          <w:rFonts w:hint="eastAsia" w:ascii="仿宋" w:hAnsi="仿宋" w:eastAsia="仿宋" w:cs="仿宋"/>
          <w:color w:val="000000"/>
          <w:sz w:val="30"/>
          <w:szCs w:val="24"/>
          <w:highlight w:val="none"/>
          <w:u w:val="single"/>
        </w:rPr>
        <w:t>年</w:t>
      </w:r>
      <w:r>
        <w:rPr>
          <w:rFonts w:hint="eastAsia" w:ascii="仿宋" w:hAnsi="仿宋" w:eastAsia="仿宋" w:cs="仿宋"/>
          <w:color w:val="000000"/>
          <w:sz w:val="30"/>
          <w:szCs w:val="24"/>
          <w:highlight w:val="none"/>
          <w:u w:val="single"/>
          <w:lang w:val="en-US" w:eastAsia="zh-CN"/>
        </w:rPr>
        <w:t xml:space="preserve">  </w:t>
      </w:r>
      <w:r>
        <w:rPr>
          <w:rFonts w:hint="eastAsia" w:ascii="仿宋" w:hAnsi="仿宋" w:eastAsia="仿宋" w:cs="仿宋"/>
          <w:color w:val="000000"/>
          <w:sz w:val="30"/>
          <w:szCs w:val="24"/>
          <w:highlight w:val="none"/>
          <w:u w:val="single"/>
        </w:rPr>
        <w:t>月</w:t>
      </w:r>
      <w:r>
        <w:rPr>
          <w:rFonts w:hint="eastAsia" w:ascii="仿宋" w:hAnsi="仿宋" w:eastAsia="仿宋" w:cs="仿宋"/>
          <w:color w:val="000000"/>
          <w:sz w:val="30"/>
          <w:szCs w:val="24"/>
          <w:highlight w:val="none"/>
          <w:u w:val="single"/>
          <w:lang w:val="en-US" w:eastAsia="zh-CN"/>
        </w:rPr>
        <w:t xml:space="preserve">   </w:t>
      </w:r>
      <w:r>
        <w:rPr>
          <w:rFonts w:hint="eastAsia" w:ascii="仿宋" w:hAnsi="仿宋" w:eastAsia="仿宋" w:cs="仿宋"/>
          <w:color w:val="000000"/>
          <w:sz w:val="30"/>
          <w:szCs w:val="24"/>
          <w:highlight w:val="none"/>
          <w:u w:val="single"/>
        </w:rPr>
        <w:t>日</w:t>
      </w:r>
      <w:bookmarkEnd w:id="14"/>
    </w:p>
    <w:p>
      <w:pPr>
        <w:spacing w:line="480" w:lineRule="exact"/>
        <w:jc w:val="left"/>
        <w:rPr>
          <w:rFonts w:hint="eastAsia" w:ascii="仿宋" w:hAnsi="仿宋" w:eastAsia="仿宋" w:cs="仿宋"/>
          <w:color w:val="000000"/>
          <w:sz w:val="24"/>
          <w:szCs w:val="24"/>
          <w:highlight w:val="none"/>
        </w:rPr>
      </w:pPr>
    </w:p>
    <w:p>
      <w:pPr>
        <w:spacing w:line="48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甲  方：</w:t>
      </w:r>
      <w:r>
        <w:rPr>
          <w:rFonts w:hint="eastAsia" w:ascii="仿宋" w:hAnsi="仿宋" w:eastAsia="仿宋" w:cs="仿宋"/>
          <w:color w:val="000000"/>
          <w:sz w:val="24"/>
          <w:szCs w:val="24"/>
          <w:highlight w:val="none"/>
          <w:u w:val="single"/>
        </w:rPr>
        <w:t>海南洋浦陆海国际贸易有限公司</w:t>
      </w:r>
      <w:r>
        <w:rPr>
          <w:rFonts w:hint="eastAsia" w:ascii="仿宋" w:hAnsi="仿宋" w:eastAsia="仿宋" w:cs="仿宋"/>
          <w:color w:val="000000"/>
          <w:sz w:val="24"/>
          <w:szCs w:val="24"/>
          <w:highlight w:val="none"/>
        </w:rPr>
        <w:t xml:space="preserve">                                               </w:t>
      </w:r>
    </w:p>
    <w:p>
      <w:pPr>
        <w:spacing w:line="480" w:lineRule="exact"/>
        <w:rPr>
          <w:rFonts w:hint="eastAsia" w:ascii="仿宋" w:hAnsi="仿宋" w:eastAsia="仿宋" w:cs="仿宋"/>
          <w:color w:val="000000"/>
          <w:sz w:val="24"/>
          <w:szCs w:val="24"/>
          <w:highlight w:val="none"/>
          <w:u w:val="single"/>
        </w:rPr>
      </w:pPr>
      <w:r>
        <w:rPr>
          <w:rFonts w:hint="eastAsia" w:ascii="仿宋" w:hAnsi="仿宋" w:eastAsia="仿宋" w:cs="仿宋"/>
          <w:color w:val="000000"/>
          <w:sz w:val="24"/>
          <w:szCs w:val="24"/>
          <w:highlight w:val="none"/>
        </w:rPr>
        <w:t>住  所：</w:t>
      </w:r>
      <w:r>
        <w:rPr>
          <w:rFonts w:hint="eastAsia" w:ascii="仿宋" w:hAnsi="仿宋" w:eastAsia="仿宋" w:cs="仿宋"/>
          <w:color w:val="000000"/>
          <w:sz w:val="24"/>
          <w:szCs w:val="24"/>
          <w:highlight w:val="none"/>
          <w:u w:val="single"/>
        </w:rPr>
        <w:t>海南省洋浦经济开发区洋浦大厦3楼305房</w:t>
      </w:r>
    </w:p>
    <w:p>
      <w:pPr>
        <w:pStyle w:val="4"/>
        <w:numPr>
          <w:ilvl w:val="0"/>
          <w:numId w:val="0"/>
        </w:numPr>
        <w:tabs>
          <w:tab w:val="left" w:pos="992"/>
        </w:tabs>
        <w:spacing w:line="480" w:lineRule="exact"/>
        <w:ind w:left="0" w:firstLine="0"/>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法定代表人：</w:t>
      </w:r>
      <w:r>
        <w:rPr>
          <w:rFonts w:hint="eastAsia" w:ascii="仿宋" w:hAnsi="仿宋" w:eastAsia="仿宋" w:cs="仿宋"/>
          <w:color w:val="000000"/>
          <w:sz w:val="24"/>
          <w:szCs w:val="24"/>
          <w:highlight w:val="none"/>
          <w:u w:val="single"/>
          <w:lang w:val="en-US" w:eastAsia="zh-CN"/>
        </w:rPr>
        <w:t>刘兴建</w:t>
      </w:r>
    </w:p>
    <w:p>
      <w:pPr>
        <w:spacing w:line="480" w:lineRule="exact"/>
        <w:jc w:val="left"/>
        <w:rPr>
          <w:rFonts w:hint="eastAsia" w:ascii="仿宋" w:hAnsi="仿宋" w:eastAsia="仿宋" w:cs="仿宋"/>
          <w:color w:val="000000"/>
          <w:sz w:val="24"/>
          <w:szCs w:val="24"/>
          <w:highlight w:val="none"/>
        </w:rPr>
      </w:pPr>
      <w:r>
        <w:rPr>
          <w:rFonts w:hint="eastAsia" w:ascii="仿宋" w:hAnsi="仿宋" w:eastAsia="仿宋" w:cs="仿宋"/>
          <w:snapToGrid w:val="0"/>
          <w:color w:val="000000"/>
          <w:kern w:val="0"/>
          <w:sz w:val="24"/>
          <w:szCs w:val="24"/>
          <w:highlight w:val="none"/>
        </w:rPr>
        <w:t>乙  方</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 xml:space="preserve">            </w:t>
      </w:r>
    </w:p>
    <w:p>
      <w:pPr>
        <w:spacing w:line="480" w:lineRule="exact"/>
        <w:rPr>
          <w:rFonts w:hint="default" w:ascii="仿宋" w:hAnsi="仿宋" w:eastAsia="仿宋" w:cs="仿宋"/>
          <w:color w:val="000000"/>
          <w:sz w:val="24"/>
          <w:szCs w:val="24"/>
          <w:highlight w:val="none"/>
          <w:u w:val="single"/>
          <w:lang w:val="en-US" w:eastAsia="zh-CN"/>
        </w:rPr>
      </w:pPr>
      <w:r>
        <w:rPr>
          <w:rFonts w:hint="eastAsia" w:ascii="仿宋" w:hAnsi="仿宋" w:eastAsia="仿宋" w:cs="仿宋"/>
          <w:color w:val="000000"/>
          <w:sz w:val="24"/>
          <w:szCs w:val="24"/>
          <w:highlight w:val="none"/>
        </w:rPr>
        <w:t>住  所：</w:t>
      </w:r>
      <w:r>
        <w:rPr>
          <w:rFonts w:hint="eastAsia" w:ascii="仿宋" w:hAnsi="仿宋" w:eastAsia="仿宋" w:cs="仿宋"/>
          <w:color w:val="000000"/>
          <w:sz w:val="24"/>
          <w:szCs w:val="24"/>
          <w:highlight w:val="none"/>
          <w:u w:val="single"/>
          <w:lang w:val="en-US" w:eastAsia="zh-CN"/>
        </w:rPr>
        <w:t xml:space="preserve">                          </w:t>
      </w:r>
    </w:p>
    <w:p>
      <w:pPr>
        <w:pStyle w:val="4"/>
        <w:numPr>
          <w:ilvl w:val="0"/>
          <w:numId w:val="0"/>
        </w:numPr>
        <w:tabs>
          <w:tab w:val="left" w:pos="992"/>
        </w:tabs>
        <w:spacing w:line="480" w:lineRule="exact"/>
        <w:ind w:left="0" w:firstLine="0"/>
        <w:rPr>
          <w:rFonts w:hint="default" w:ascii="仿宋" w:hAnsi="仿宋" w:eastAsia="仿宋" w:cs="仿宋"/>
          <w:color w:val="000000"/>
          <w:sz w:val="24"/>
          <w:szCs w:val="24"/>
          <w:highlight w:val="none"/>
          <w:u w:val="single"/>
          <w:lang w:val="en-US" w:eastAsia="zh-CN"/>
        </w:rPr>
      </w:pPr>
      <w:r>
        <w:rPr>
          <w:rFonts w:hint="eastAsia" w:ascii="仿宋" w:hAnsi="仿宋" w:eastAsia="仿宋" w:cs="仿宋"/>
          <w:color w:val="000000"/>
          <w:sz w:val="24"/>
          <w:szCs w:val="24"/>
          <w:highlight w:val="none"/>
        </w:rPr>
        <w:t>法定代表人：</w:t>
      </w:r>
      <w:r>
        <w:rPr>
          <w:rFonts w:hint="eastAsia" w:eastAsia="仿宋" w:cs="仿宋"/>
          <w:color w:val="000000"/>
          <w:sz w:val="24"/>
          <w:szCs w:val="24"/>
          <w:highlight w:val="none"/>
          <w:u w:val="single"/>
          <w:lang w:val="en-US" w:eastAsia="zh-CN"/>
        </w:rPr>
        <w:t xml:space="preserve">                          </w:t>
      </w:r>
    </w:p>
    <w:p>
      <w:pPr>
        <w:widowControl/>
        <w:spacing w:line="480" w:lineRule="exact"/>
        <w:jc w:val="left"/>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根据《中华人民共和国民法典》及相关法律法规，为明确甲方与乙方的权利义务，经双方协商一致，</w:t>
      </w:r>
      <w:r>
        <w:rPr>
          <w:rFonts w:hint="eastAsia" w:ascii="仿宋" w:hAnsi="仿宋" w:eastAsia="仿宋" w:cs="仿宋"/>
          <w:color w:val="000000"/>
          <w:sz w:val="24"/>
          <w:szCs w:val="24"/>
          <w:highlight w:val="none"/>
          <w:lang w:val="en-US" w:eastAsia="zh-CN"/>
        </w:rPr>
        <w:t>甲方</w:t>
      </w:r>
      <w:r>
        <w:rPr>
          <w:rFonts w:hint="eastAsia" w:ascii="仿宋" w:hAnsi="仿宋" w:eastAsia="仿宋" w:cs="仿宋"/>
          <w:color w:val="000000"/>
          <w:sz w:val="24"/>
          <w:szCs w:val="24"/>
          <w:highlight w:val="none"/>
        </w:rPr>
        <w:t>就</w:t>
      </w:r>
      <w:r>
        <w:rPr>
          <w:rFonts w:hint="eastAsia" w:ascii="仿宋" w:hAnsi="仿宋" w:eastAsia="仿宋" w:cs="仿宋"/>
          <w:color w:val="000000"/>
          <w:sz w:val="24"/>
          <w:szCs w:val="24"/>
          <w:highlight w:val="none"/>
          <w:u w:val="none"/>
          <w:lang w:val="en-US" w:eastAsia="zh-CN"/>
        </w:rPr>
        <w:t>向乙方</w:t>
      </w:r>
      <w:r>
        <w:rPr>
          <w:rFonts w:hint="eastAsia" w:ascii="仿宋" w:hAnsi="仿宋" w:eastAsia="仿宋" w:cs="仿宋"/>
          <w:color w:val="000000"/>
          <w:sz w:val="24"/>
          <w:szCs w:val="24"/>
          <w:highlight w:val="none"/>
        </w:rPr>
        <w:t>采购</w:t>
      </w:r>
      <w:r>
        <w:rPr>
          <w:rFonts w:hint="eastAsia" w:ascii="仿宋" w:hAnsi="仿宋" w:eastAsia="仿宋" w:cs="仿宋"/>
          <w:color w:val="000000"/>
          <w:sz w:val="24"/>
          <w:szCs w:val="24"/>
          <w:highlight w:val="none"/>
          <w:lang w:val="en-US" w:eastAsia="zh-CN"/>
        </w:rPr>
        <w:t>MPP管</w:t>
      </w:r>
      <w:r>
        <w:rPr>
          <w:rFonts w:hint="eastAsia" w:ascii="仿宋" w:hAnsi="仿宋" w:eastAsia="仿宋" w:cs="仿宋"/>
          <w:color w:val="000000"/>
          <w:sz w:val="24"/>
          <w:szCs w:val="24"/>
          <w:highlight w:val="none"/>
        </w:rPr>
        <w:t>事宜，签订本合同，双方共同遵守。</w:t>
      </w:r>
    </w:p>
    <w:p>
      <w:pPr>
        <w:numPr>
          <w:ilvl w:val="0"/>
          <w:numId w:val="4"/>
        </w:numPr>
        <w:spacing w:line="480" w:lineRule="exact"/>
        <w:rPr>
          <w:rFonts w:hint="eastAsia" w:ascii="仿宋" w:hAnsi="仿宋" w:eastAsia="仿宋" w:cs="仿宋"/>
          <w:sz w:val="24"/>
          <w:szCs w:val="24"/>
          <w:highlight w:val="none"/>
        </w:rPr>
      </w:pPr>
      <w:r>
        <w:rPr>
          <w:rFonts w:hint="eastAsia" w:ascii="仿宋" w:hAnsi="仿宋" w:eastAsia="仿宋" w:cs="仿宋"/>
          <w:b/>
          <w:color w:val="000000"/>
          <w:sz w:val="24"/>
          <w:szCs w:val="24"/>
          <w:highlight w:val="none"/>
        </w:rPr>
        <w:t>货物及数量</w:t>
      </w:r>
    </w:p>
    <w:p>
      <w:pPr>
        <w:numPr>
          <w:ilvl w:val="1"/>
          <w:numId w:val="4"/>
        </w:numPr>
        <w:spacing w:line="480" w:lineRule="exact"/>
        <w:ind w:left="0" w:firstLine="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货物的名称、数量、规格、</w:t>
      </w:r>
      <w:r>
        <w:rPr>
          <w:rFonts w:hint="eastAsia" w:ascii="仿宋" w:hAnsi="仿宋" w:eastAsia="仿宋" w:cs="仿宋"/>
          <w:color w:val="000000"/>
          <w:sz w:val="24"/>
          <w:szCs w:val="24"/>
          <w:highlight w:val="none"/>
          <w:lang w:val="en-US" w:eastAsia="zh-CN"/>
        </w:rPr>
        <w:t>单价</w:t>
      </w:r>
      <w:r>
        <w:rPr>
          <w:rFonts w:hint="eastAsia" w:ascii="仿宋" w:hAnsi="仿宋" w:eastAsia="仿宋" w:cs="仿宋"/>
          <w:color w:val="000000"/>
          <w:sz w:val="24"/>
          <w:szCs w:val="24"/>
          <w:highlight w:val="none"/>
        </w:rPr>
        <w:t>等详见下表。</w:t>
      </w:r>
    </w:p>
    <w:tbl>
      <w:tblPr>
        <w:tblStyle w:val="17"/>
        <w:tblW w:w="92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8"/>
        <w:gridCol w:w="940"/>
        <w:gridCol w:w="1064"/>
        <w:gridCol w:w="557"/>
        <w:gridCol w:w="977"/>
        <w:gridCol w:w="1139"/>
        <w:gridCol w:w="1139"/>
        <w:gridCol w:w="928"/>
        <w:gridCol w:w="1089"/>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4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序号</w:t>
            </w:r>
          </w:p>
        </w:tc>
        <w:tc>
          <w:tcPr>
            <w:tcW w:w="94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名称</w:t>
            </w:r>
          </w:p>
        </w:tc>
        <w:tc>
          <w:tcPr>
            <w:tcW w:w="106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规格型号</w:t>
            </w:r>
          </w:p>
        </w:tc>
        <w:tc>
          <w:tcPr>
            <w:tcW w:w="55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单位</w:t>
            </w:r>
          </w:p>
        </w:tc>
        <w:tc>
          <w:tcPr>
            <w:tcW w:w="9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暂定数量</w:t>
            </w:r>
          </w:p>
        </w:tc>
        <w:tc>
          <w:tcPr>
            <w:tcW w:w="11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不含税单价</w:t>
            </w:r>
          </w:p>
        </w:tc>
        <w:tc>
          <w:tcPr>
            <w:tcW w:w="11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含税单价</w:t>
            </w:r>
          </w:p>
        </w:tc>
        <w:tc>
          <w:tcPr>
            <w:tcW w:w="92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不含税合价</w:t>
            </w:r>
          </w:p>
        </w:tc>
        <w:tc>
          <w:tcPr>
            <w:tcW w:w="108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含税合价</w:t>
            </w:r>
          </w:p>
        </w:tc>
        <w:tc>
          <w:tcPr>
            <w:tcW w:w="9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4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1</w:t>
            </w:r>
          </w:p>
        </w:tc>
        <w:tc>
          <w:tcPr>
            <w:tcW w:w="94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MPP拖拉管</w:t>
            </w:r>
          </w:p>
        </w:tc>
        <w:tc>
          <w:tcPr>
            <w:tcW w:w="10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DN160/12mm</w:t>
            </w:r>
          </w:p>
        </w:tc>
        <w:tc>
          <w:tcPr>
            <w:tcW w:w="5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m</w:t>
            </w:r>
          </w:p>
        </w:tc>
        <w:tc>
          <w:tcPr>
            <w:tcW w:w="97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楷体" w:hAnsi="楷体" w:eastAsia="楷体" w:cs="楷体"/>
                <w:i w:val="0"/>
                <w:iCs w:val="0"/>
                <w:color w:val="000000"/>
                <w:kern w:val="0"/>
                <w:sz w:val="21"/>
                <w:szCs w:val="21"/>
                <w:highlight w:val="none"/>
                <w:u w:val="none"/>
                <w:lang w:val="en-US" w:eastAsia="zh-CN" w:bidi="ar"/>
              </w:rPr>
            </w:pPr>
            <w:r>
              <w:rPr>
                <w:rFonts w:hint="eastAsia" w:ascii="楷体" w:hAnsi="楷体" w:eastAsia="楷体" w:cs="楷体"/>
                <w:i w:val="0"/>
                <w:iCs w:val="0"/>
                <w:color w:val="000000"/>
                <w:kern w:val="0"/>
                <w:sz w:val="21"/>
                <w:szCs w:val="21"/>
                <w:highlight w:val="none"/>
                <w:u w:val="none"/>
                <w:lang w:val="en-US" w:eastAsia="zh-CN" w:bidi="ar"/>
              </w:rPr>
              <w:t>2251.27</w:t>
            </w:r>
          </w:p>
        </w:tc>
        <w:tc>
          <w:tcPr>
            <w:tcW w:w="1139"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1139"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928"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1089"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c>
          <w:tcPr>
            <w:tcW w:w="925" w:type="dxa"/>
            <w:tcBorders>
              <w:top w:val="nil"/>
              <w:left w:val="nil"/>
              <w:bottom w:val="single" w:color="000000" w:sz="8" w:space="0"/>
              <w:right w:val="single" w:color="000000" w:sz="8" w:space="0"/>
            </w:tcBorders>
            <w:shd w:val="clear" w:color="auto" w:fill="auto"/>
            <w:noWrap/>
            <w:vAlign w:val="bottom"/>
          </w:tcPr>
          <w:p>
            <w:pPr>
              <w:jc w:val="center"/>
              <w:rPr>
                <w:rFonts w:hint="eastAsia" w:ascii="楷体" w:hAnsi="楷体" w:eastAsia="楷体" w:cs="楷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4036" w:type="dxa"/>
            <w:gridSpan w:val="5"/>
            <w:tcBorders>
              <w:top w:val="nil"/>
              <w:left w:val="single" w:color="000000" w:sz="8" w:space="0"/>
              <w:bottom w:val="single" w:color="000000" w:sz="8" w:space="0"/>
              <w:right w:val="single" w:color="000000" w:sz="8" w:space="0"/>
            </w:tcBorders>
            <w:shd w:val="clear" w:color="auto" w:fill="auto"/>
            <w:noWrap/>
            <w:vAlign w:val="center"/>
          </w:tcPr>
          <w:p>
            <w:pPr>
              <w:jc w:val="center"/>
              <w:rPr>
                <w:rFonts w:hint="default" w:ascii="楷体" w:hAnsi="楷体" w:eastAsia="楷体" w:cs="楷体"/>
                <w:i w:val="0"/>
                <w:iCs w:val="0"/>
                <w:color w:val="000000"/>
                <w:sz w:val="21"/>
                <w:szCs w:val="21"/>
                <w:highlight w:val="none"/>
                <w:u w:val="none"/>
                <w:lang w:val="en-US" w:eastAsia="zh-CN"/>
              </w:rPr>
            </w:pPr>
            <w:r>
              <w:rPr>
                <w:rFonts w:hint="eastAsia" w:ascii="楷体" w:hAnsi="楷体" w:eastAsia="楷体" w:cs="楷体"/>
                <w:i w:val="0"/>
                <w:iCs w:val="0"/>
                <w:color w:val="000000"/>
                <w:kern w:val="0"/>
                <w:sz w:val="21"/>
                <w:szCs w:val="21"/>
                <w:highlight w:val="none"/>
                <w:u w:val="none"/>
                <w:lang w:val="en-US" w:eastAsia="zh-CN" w:bidi="ar"/>
              </w:rPr>
              <w:t>合计</w:t>
            </w:r>
          </w:p>
        </w:tc>
        <w:tc>
          <w:tcPr>
            <w:tcW w:w="1139"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rPr>
            </w:pPr>
          </w:p>
        </w:tc>
        <w:tc>
          <w:tcPr>
            <w:tcW w:w="1139"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rPr>
            </w:pPr>
          </w:p>
        </w:tc>
        <w:tc>
          <w:tcPr>
            <w:tcW w:w="928" w:type="dxa"/>
            <w:tcBorders>
              <w:top w:val="nil"/>
              <w:left w:val="nil"/>
              <w:bottom w:val="single" w:color="000000" w:sz="8" w:space="0"/>
              <w:right w:val="single" w:color="000000" w:sz="8" w:space="0"/>
            </w:tcBorders>
            <w:shd w:val="clear" w:color="auto" w:fill="auto"/>
            <w:noWrap/>
            <w:vAlign w:val="center"/>
          </w:tcPr>
          <w:p>
            <w:pPr>
              <w:jc w:val="center"/>
              <w:rPr>
                <w:rFonts w:hint="eastAsia" w:ascii="楷体" w:hAnsi="楷体" w:eastAsia="楷体" w:cs="楷体"/>
                <w:i w:val="0"/>
                <w:iCs w:val="0"/>
                <w:color w:val="000000"/>
                <w:sz w:val="21"/>
                <w:szCs w:val="21"/>
                <w:highlight w:val="none"/>
                <w:u w:val="none"/>
              </w:rPr>
            </w:pPr>
          </w:p>
        </w:tc>
        <w:tc>
          <w:tcPr>
            <w:tcW w:w="1089" w:type="dxa"/>
            <w:tcBorders>
              <w:top w:val="nil"/>
              <w:left w:val="nil"/>
              <w:bottom w:val="single" w:color="000000" w:sz="8" w:space="0"/>
              <w:right w:val="single" w:color="000000" w:sz="8" w:space="0"/>
            </w:tcBorders>
            <w:shd w:val="clear" w:color="auto" w:fill="auto"/>
            <w:noWrap/>
            <w:vAlign w:val="center"/>
          </w:tcPr>
          <w:p>
            <w:pPr>
              <w:jc w:val="center"/>
              <w:rPr>
                <w:rFonts w:hint="default" w:ascii="楷体" w:hAnsi="楷体" w:eastAsia="楷体" w:cs="楷体"/>
                <w:i w:val="0"/>
                <w:iCs w:val="0"/>
                <w:color w:val="000000"/>
                <w:sz w:val="21"/>
                <w:szCs w:val="21"/>
                <w:highlight w:val="none"/>
                <w:u w:val="none"/>
                <w:lang w:val="en-US" w:eastAsia="zh-CN"/>
              </w:rPr>
            </w:pPr>
          </w:p>
        </w:tc>
        <w:tc>
          <w:tcPr>
            <w:tcW w:w="925" w:type="dxa"/>
            <w:tcBorders>
              <w:top w:val="nil"/>
              <w:left w:val="nil"/>
              <w:bottom w:val="single" w:color="000000" w:sz="8" w:space="0"/>
              <w:right w:val="single" w:color="000000" w:sz="8" w:space="0"/>
            </w:tcBorders>
            <w:shd w:val="clear" w:color="auto" w:fill="auto"/>
            <w:noWrap/>
            <w:vAlign w:val="center"/>
          </w:tcPr>
          <w:p>
            <w:pPr>
              <w:jc w:val="center"/>
              <w:rPr>
                <w:rFonts w:hint="default" w:ascii="楷体" w:hAnsi="楷体" w:eastAsia="楷体" w:cs="楷体"/>
                <w:i w:val="0"/>
                <w:iCs w:val="0"/>
                <w:color w:val="00000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9256" w:type="dxa"/>
            <w:gridSpan w:val="10"/>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楷体" w:hAnsi="楷体" w:eastAsia="楷体" w:cs="楷体"/>
                <w:i w:val="0"/>
                <w:iCs w:val="0"/>
                <w:color w:val="000000"/>
                <w:sz w:val="21"/>
                <w:szCs w:val="21"/>
                <w:highlight w:val="none"/>
                <w:u w:val="none"/>
              </w:rPr>
            </w:pPr>
            <w:r>
              <w:rPr>
                <w:rFonts w:hint="eastAsia" w:ascii="楷体" w:hAnsi="楷体" w:eastAsia="楷体" w:cs="楷体"/>
                <w:i w:val="0"/>
                <w:iCs w:val="0"/>
                <w:color w:val="000000"/>
                <w:kern w:val="0"/>
                <w:sz w:val="21"/>
                <w:szCs w:val="21"/>
                <w:highlight w:val="none"/>
                <w:u w:val="none"/>
                <w:lang w:val="en-US" w:eastAsia="zh-CN" w:bidi="ar"/>
              </w:rPr>
              <w:t>注：1、具体以到场实际合格物资数量为准办理结算；卖方不得以本表价款与买方发生任何经济与法律纠纷，否则视为卖方违约。</w:t>
            </w:r>
          </w:p>
        </w:tc>
      </w:tr>
    </w:tbl>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以上数量为暂估数量，暂定总价款（含税）为：</w:t>
      </w:r>
      <w:r>
        <w:rPr>
          <w:rFonts w:hint="eastAsia" w:ascii="仿宋" w:hAnsi="仿宋" w:eastAsia="仿宋" w:cs="仿宋"/>
          <w:color w:val="auto"/>
          <w:sz w:val="24"/>
          <w:szCs w:val="22"/>
          <w:highlight w:val="none"/>
          <w:u w:val="single"/>
          <w:lang w:val="en-US" w:eastAsia="zh-CN"/>
        </w:rPr>
        <w:t xml:space="preserve">       </w:t>
      </w:r>
      <w:r>
        <w:rPr>
          <w:rFonts w:hint="eastAsia" w:ascii="仿宋" w:hAnsi="仿宋" w:eastAsia="仿宋" w:cs="仿宋"/>
          <w:color w:val="auto"/>
          <w:sz w:val="24"/>
          <w:highlight w:val="none"/>
        </w:rPr>
        <w:t>元，金额大写：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；其中，不含税价款为：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元，税金为：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元，税率为：</w:t>
      </w:r>
      <w:r>
        <w:rPr>
          <w:rFonts w:hint="eastAsia" w:ascii="仿宋" w:hAnsi="仿宋" w:eastAsia="仿宋" w:cs="仿宋"/>
          <w:color w:val="auto"/>
          <w:sz w:val="24"/>
          <w:highlight w:val="none"/>
          <w:u w:val="single"/>
          <w:lang w:val="en-US" w:eastAsia="zh-CN"/>
        </w:rPr>
        <w:t>13</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。供货数量、时间和地点以甲方书面计划为准，结算数量为甲方实收合格数量，甲方有权对合同中的数量和交货时间做调整，乙方</w:t>
      </w:r>
      <w:r>
        <w:rPr>
          <w:rFonts w:hint="eastAsia" w:ascii="仿宋" w:hAnsi="仿宋" w:eastAsia="仿宋" w:cs="仿宋"/>
          <w:color w:val="000000" w:themeColor="text1"/>
          <w:sz w:val="24"/>
          <w:szCs w:val="24"/>
          <w:highlight w:val="none"/>
          <w14:textFill>
            <w14:solidFill>
              <w14:schemeClr w14:val="tx1"/>
            </w14:solidFill>
          </w14:textFill>
        </w:rPr>
        <w:t>应予无条件配合。因货物数量调整</w:t>
      </w:r>
      <w:r>
        <w:rPr>
          <w:rFonts w:hint="eastAsia" w:ascii="仿宋" w:hAnsi="仿宋" w:eastAsia="仿宋" w:cs="仿宋"/>
          <w:color w:val="auto"/>
          <w:sz w:val="24"/>
          <w:highlight w:val="none"/>
        </w:rPr>
        <w:t>，当乙方</w:t>
      </w:r>
      <w:r>
        <w:rPr>
          <w:rFonts w:hint="eastAsia" w:ascii="仿宋" w:hAnsi="仿宋" w:eastAsia="仿宋" w:cs="仿宋"/>
          <w:color w:val="auto"/>
          <w:sz w:val="24"/>
          <w:highlight w:val="none"/>
          <w:lang w:val="en-US" w:eastAsia="zh-CN"/>
        </w:rPr>
        <w:t>实际</w:t>
      </w:r>
      <w:r>
        <w:rPr>
          <w:rFonts w:hint="eastAsia" w:ascii="仿宋" w:hAnsi="仿宋" w:eastAsia="仿宋" w:cs="仿宋"/>
          <w:color w:val="auto"/>
          <w:sz w:val="24"/>
          <w:highlight w:val="none"/>
        </w:rPr>
        <w:t>供货量</w:t>
      </w:r>
      <w:r>
        <w:rPr>
          <w:rFonts w:hint="eastAsia" w:ascii="仿宋" w:hAnsi="仿宋" w:eastAsia="仿宋" w:cs="仿宋"/>
          <w:color w:val="auto"/>
          <w:sz w:val="24"/>
          <w:highlight w:val="none"/>
          <w:lang w:val="en-US" w:eastAsia="zh-CN"/>
        </w:rPr>
        <w:t>未达</w:t>
      </w:r>
      <w:r>
        <w:rPr>
          <w:rFonts w:hint="eastAsia" w:ascii="仿宋" w:hAnsi="仿宋" w:eastAsia="仿宋" w:cs="仿宋"/>
          <w:color w:val="auto"/>
          <w:sz w:val="24"/>
          <w:highlight w:val="none"/>
        </w:rPr>
        <w:t>以上暂估数量时，乙方不得以供货数量不足作为索赔的理由。</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合同结算单价、合同暂估总金额以及最终结算总价都已包括货物价款、供应商出售该物资应缴纳税金及一切税费、装车费、包装费、保险费、运输费，以及其他运抵至甲方指定交货地点的一切费用；包括售后服务以及市场价格涨幅等的各类风险费用；以及其他所有相关服务费用。</w:t>
      </w:r>
    </w:p>
    <w:p>
      <w:pPr>
        <w:pStyle w:val="4"/>
        <w:numPr>
          <w:ilvl w:val="2"/>
          <w:numId w:val="0"/>
        </w:numPr>
        <w:tabs>
          <w:tab w:val="left" w:pos="992"/>
        </w:tabs>
        <w:spacing w:line="520" w:lineRule="exact"/>
        <w:rPr>
          <w:color w:val="auto"/>
          <w:highlight w:val="none"/>
        </w:rPr>
      </w:pPr>
      <w:r>
        <w:rPr>
          <w:rFonts w:hint="eastAsia" w:ascii="仿宋" w:hAnsi="仿宋" w:eastAsia="仿宋" w:cs="仿宋"/>
          <w:b/>
          <w:bCs/>
          <w:color w:val="auto"/>
          <w:sz w:val="24"/>
          <w:szCs w:val="24"/>
          <w:highlight w:val="none"/>
        </w:rPr>
        <w:t>1.4</w:t>
      </w:r>
      <w:r>
        <w:rPr>
          <w:rFonts w:hint="eastAsia" w:ascii="仿宋" w:hAnsi="仿宋" w:eastAsia="仿宋" w:cs="仿宋"/>
          <w:b w:val="0"/>
          <w:bCs w:val="0"/>
          <w:color w:val="auto"/>
          <w:kern w:val="0"/>
          <w:sz w:val="24"/>
          <w:szCs w:val="22"/>
          <w:highlight w:val="none"/>
        </w:rPr>
        <w:t>甲方收取本</w:t>
      </w:r>
      <w:r>
        <w:rPr>
          <w:rFonts w:hint="eastAsia" w:ascii="仿宋" w:hAnsi="仿宋" w:eastAsia="仿宋" w:cs="仿宋"/>
          <w:b w:val="0"/>
          <w:bCs w:val="0"/>
          <w:color w:val="auto"/>
          <w:kern w:val="0"/>
          <w:sz w:val="24"/>
          <w:szCs w:val="22"/>
          <w:highlight w:val="none"/>
          <w:lang w:val="en-US" w:eastAsia="zh-CN"/>
        </w:rPr>
        <w:t>合同含税总价款</w:t>
      </w:r>
      <w:r>
        <w:rPr>
          <w:rFonts w:hint="eastAsia" w:ascii="仿宋" w:hAnsi="仿宋" w:eastAsia="仿宋" w:cs="仿宋"/>
          <w:b w:val="0"/>
          <w:bCs w:val="0"/>
          <w:color w:val="auto"/>
          <w:kern w:val="0"/>
          <w:sz w:val="24"/>
          <w:szCs w:val="22"/>
          <w:highlight w:val="none"/>
          <w:u w:val="single"/>
          <w:lang w:eastAsia="zh-CN"/>
        </w:rPr>
        <w:t xml:space="preserve"> </w:t>
      </w:r>
      <w:r>
        <w:rPr>
          <w:rFonts w:hint="eastAsia" w:ascii="仿宋" w:hAnsi="仿宋" w:eastAsia="仿宋" w:cs="仿宋"/>
          <w:b w:val="0"/>
          <w:bCs w:val="0"/>
          <w:color w:val="auto"/>
          <w:kern w:val="0"/>
          <w:sz w:val="24"/>
          <w:szCs w:val="22"/>
          <w:highlight w:val="none"/>
          <w:u w:val="single"/>
          <w:lang w:val="en-US" w:eastAsia="zh-CN"/>
        </w:rPr>
        <w:t xml:space="preserve"> </w:t>
      </w:r>
      <w:r>
        <w:rPr>
          <w:rFonts w:hint="eastAsia" w:eastAsia="仿宋" w:cs="仿宋"/>
          <w:b w:val="0"/>
          <w:bCs w:val="0"/>
          <w:color w:val="auto"/>
          <w:kern w:val="0"/>
          <w:sz w:val="24"/>
          <w:szCs w:val="22"/>
          <w:highlight w:val="none"/>
          <w:u w:val="single"/>
          <w:lang w:val="en-US" w:eastAsia="zh-CN"/>
        </w:rPr>
        <w:t>2</w:t>
      </w:r>
      <w:r>
        <w:rPr>
          <w:rFonts w:hint="eastAsia" w:ascii="仿宋" w:hAnsi="仿宋" w:eastAsia="仿宋" w:cs="仿宋"/>
          <w:b w:val="0"/>
          <w:bCs w:val="0"/>
          <w:color w:val="auto"/>
          <w:kern w:val="0"/>
          <w:sz w:val="24"/>
          <w:szCs w:val="22"/>
          <w:highlight w:val="none"/>
          <w:u w:val="single"/>
          <w:lang w:val="en-US" w:eastAsia="zh-CN"/>
        </w:rPr>
        <w:t xml:space="preserve"> </w:t>
      </w:r>
      <w:r>
        <w:rPr>
          <w:rFonts w:hint="eastAsia" w:ascii="仿宋" w:hAnsi="仿宋" w:eastAsia="仿宋" w:cs="仿宋"/>
          <w:b w:val="0"/>
          <w:bCs w:val="0"/>
          <w:color w:val="auto"/>
          <w:kern w:val="0"/>
          <w:sz w:val="24"/>
          <w:szCs w:val="22"/>
          <w:highlight w:val="none"/>
        </w:rPr>
        <w:t>%，</w:t>
      </w:r>
      <w:r>
        <w:rPr>
          <w:rFonts w:hint="eastAsia" w:ascii="仿宋" w:hAnsi="仿宋" w:eastAsia="仿宋" w:cs="仿宋"/>
          <w:b w:val="0"/>
          <w:bCs w:val="0"/>
          <w:color w:val="auto"/>
          <w:kern w:val="0"/>
          <w:sz w:val="24"/>
          <w:szCs w:val="22"/>
          <w:highlight w:val="none"/>
          <w:lang w:val="en-US" w:eastAsia="zh-CN"/>
        </w:rPr>
        <w:t>即</w:t>
      </w:r>
      <w:r>
        <w:rPr>
          <w:rFonts w:hint="eastAsia" w:ascii="仿宋" w:hAnsi="仿宋" w:eastAsia="仿宋" w:cs="仿宋"/>
          <w:b w:val="0"/>
          <w:bCs w:val="0"/>
          <w:color w:val="auto"/>
          <w:kern w:val="0"/>
          <w:sz w:val="24"/>
          <w:szCs w:val="22"/>
          <w:highlight w:val="none"/>
          <w:u w:val="single"/>
          <w:lang w:eastAsia="zh-CN"/>
        </w:rPr>
        <w:t xml:space="preserve"> </w:t>
      </w:r>
      <w:r>
        <w:rPr>
          <w:rFonts w:hint="eastAsia" w:ascii="仿宋" w:hAnsi="仿宋" w:eastAsia="仿宋" w:cs="仿宋"/>
          <w:b w:val="0"/>
          <w:bCs w:val="0"/>
          <w:color w:val="auto"/>
          <w:kern w:val="0"/>
          <w:sz w:val="24"/>
          <w:szCs w:val="22"/>
          <w:highlight w:val="none"/>
          <w:u w:val="single"/>
          <w:lang w:val="en-US" w:eastAsia="zh-CN"/>
        </w:rPr>
        <w:t xml:space="preserve">      </w:t>
      </w:r>
      <w:r>
        <w:rPr>
          <w:rFonts w:hint="eastAsia" w:ascii="仿宋" w:hAnsi="仿宋" w:eastAsia="仿宋" w:cs="仿宋"/>
          <w:b w:val="0"/>
          <w:bCs w:val="0"/>
          <w:color w:val="auto"/>
          <w:kern w:val="0"/>
          <w:sz w:val="24"/>
          <w:szCs w:val="22"/>
          <w:highlight w:val="none"/>
        </w:rPr>
        <w:t>元（大写：</w:t>
      </w:r>
      <w:r>
        <w:rPr>
          <w:rFonts w:hint="eastAsia" w:ascii="仿宋" w:hAnsi="仿宋" w:eastAsia="仿宋" w:cs="仿宋"/>
          <w:b w:val="0"/>
          <w:bCs w:val="0"/>
          <w:color w:val="auto"/>
          <w:kern w:val="0"/>
          <w:sz w:val="24"/>
          <w:szCs w:val="22"/>
          <w:highlight w:val="none"/>
          <w:u w:val="single"/>
          <w:lang w:eastAsia="zh-CN"/>
        </w:rPr>
        <w:t xml:space="preserve"> </w:t>
      </w:r>
      <w:r>
        <w:rPr>
          <w:rFonts w:hint="eastAsia" w:ascii="仿宋" w:hAnsi="仿宋" w:eastAsia="仿宋" w:cs="仿宋"/>
          <w:b w:val="0"/>
          <w:bCs w:val="0"/>
          <w:color w:val="auto"/>
          <w:kern w:val="0"/>
          <w:sz w:val="24"/>
          <w:szCs w:val="22"/>
          <w:highlight w:val="none"/>
          <w:u w:val="single"/>
          <w:lang w:val="en-US" w:eastAsia="zh-CN"/>
        </w:rPr>
        <w:t xml:space="preserve">        </w:t>
      </w:r>
      <w:r>
        <w:rPr>
          <w:rFonts w:hint="eastAsia" w:ascii="仿宋" w:hAnsi="仿宋" w:eastAsia="仿宋" w:cs="仿宋"/>
          <w:b w:val="0"/>
          <w:bCs w:val="0"/>
          <w:color w:val="auto"/>
          <w:kern w:val="0"/>
          <w:sz w:val="24"/>
          <w:szCs w:val="22"/>
          <w:highlight w:val="none"/>
          <w:lang w:val="en-US" w:eastAsia="zh-CN"/>
        </w:rPr>
        <w:t>作为</w:t>
      </w:r>
      <w:r>
        <w:rPr>
          <w:rFonts w:hint="eastAsia" w:ascii="仿宋" w:hAnsi="仿宋" w:eastAsia="仿宋" w:cs="仿宋"/>
          <w:b w:val="0"/>
          <w:bCs w:val="0"/>
          <w:color w:val="auto"/>
          <w:kern w:val="0"/>
          <w:sz w:val="24"/>
          <w:szCs w:val="22"/>
          <w:highlight w:val="none"/>
        </w:rPr>
        <w:t>合同履约保证金，中标通知书发出之后7个日历天内，以银行转账或银行保函（只限海南农村信用社、海南农商银行、海南银行三家），保函性质为见索即付，争议解决地在海南洋浦陆海国际贸易有限公司所在地，保函期间要覆盖至项目供应完毕且验收完毕）形式缴纳履约保证金，作为乙方诚信、全面、正确履行全部合同义务的保证，如发生违约扣款情况，甲方就收取的履约保证金在乙方供货完毕且办理完总结算签字确认后30个工作日内，扣除违约金无息返还；如有其他情况，双方协商确定返还时间。</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技术质量要求</w:t>
      </w:r>
    </w:p>
    <w:p>
      <w:pPr>
        <w:numPr>
          <w:ilvl w:val="1"/>
          <w:numId w:val="4"/>
        </w:numPr>
        <w:spacing w:line="520" w:lineRule="exact"/>
        <w:ind w:left="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相关标准规范：</w:t>
      </w:r>
      <w:r>
        <w:rPr>
          <w:rFonts w:hint="eastAsia" w:ascii="仿宋" w:hAnsi="仿宋" w:eastAsia="仿宋" w:cs="仿宋"/>
          <w:color w:val="auto"/>
          <w:sz w:val="24"/>
          <w:highlight w:val="none"/>
          <w:lang w:val="en-US" w:eastAsia="zh-CN"/>
        </w:rPr>
        <w:t>符合DL/T 802.7-2010《电力电缆用导管技术条件一第7部分：非开挖用改性聚丙烯塑料电缆导管》；详细参数以工程设计图纸为准。</w:t>
      </w:r>
    </w:p>
    <w:p>
      <w:pPr>
        <w:numPr>
          <w:ilvl w:val="1"/>
          <w:numId w:val="4"/>
        </w:numPr>
        <w:spacing w:line="520" w:lineRule="exact"/>
        <w:ind w:left="0" w:firstLine="0"/>
        <w:rPr>
          <w:rFonts w:ascii="仿宋" w:hAnsi="仿宋" w:eastAsia="仿宋" w:cs="仿宋"/>
          <w:color w:val="auto"/>
          <w:sz w:val="24"/>
          <w:highlight w:val="none"/>
        </w:rPr>
      </w:pPr>
      <w:r>
        <w:rPr>
          <w:rFonts w:ascii="仿宋" w:hAnsi="仿宋" w:eastAsia="仿宋" w:cs="仿宋"/>
          <w:color w:val="auto"/>
          <w:sz w:val="24"/>
          <w:highlight w:val="none"/>
        </w:rPr>
        <w:t>材质证明书：根据甲方要求提供相关证明资料，不限于产品说明书。</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服务质量：产品质量应严格符合工程项目的设计、招标文件及有关工程施工及验收规范的要求，同时产品质量及服务必须满足甲方为保证工程质量而对质量、服务等方面提出的各种进一步要求。</w:t>
      </w:r>
    </w:p>
    <w:p>
      <w:pPr>
        <w:numPr>
          <w:ilvl w:val="1"/>
          <w:numId w:val="4"/>
        </w:numPr>
        <w:spacing w:line="520" w:lineRule="exact"/>
        <w:ind w:left="0" w:firstLine="0"/>
        <w:rPr>
          <w:color w:val="auto"/>
          <w:highlight w:val="none"/>
        </w:rPr>
      </w:pPr>
      <w:r>
        <w:rPr>
          <w:rFonts w:hint="eastAsia" w:ascii="仿宋" w:hAnsi="仿宋" w:eastAsia="仿宋" w:cs="仿宋"/>
          <w:color w:val="auto"/>
          <w:sz w:val="24"/>
          <w:highlight w:val="none"/>
        </w:rPr>
        <w:t>质量保证期：</w:t>
      </w:r>
      <w:r>
        <w:rPr>
          <w:rFonts w:hint="eastAsia" w:ascii="仿宋" w:hAnsi="仿宋" w:eastAsia="仿宋" w:cs="仿宋"/>
          <w:color w:val="auto"/>
          <w:sz w:val="24"/>
          <w:highlight w:val="none"/>
          <w:u w:val="single"/>
        </w:rPr>
        <w:t xml:space="preserve"> 2 </w:t>
      </w:r>
      <w:r>
        <w:rPr>
          <w:rFonts w:hint="eastAsia" w:ascii="仿宋" w:hAnsi="仿宋" w:eastAsia="仿宋" w:cs="仿宋"/>
          <w:color w:val="auto"/>
          <w:sz w:val="24"/>
          <w:highlight w:val="none"/>
        </w:rPr>
        <w:t>年（从本工程竣工验收完毕之日起算）。质量保证期内乙方免费提供质量缺陷货物的维修、更换等服务。乙方必须在接获甲方提出书面要求后3日内给予书面答复。如有必要，乙方在1日内应指派人员到现场，将有质量缺陷的货物进行维修、更换，一切费用由乙方承担。</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质保金：质保期</w:t>
      </w:r>
      <w:r>
        <w:rPr>
          <w:rFonts w:hint="eastAsia" w:ascii="仿宋" w:hAnsi="仿宋" w:eastAsia="仿宋" w:cs="仿宋"/>
          <w:color w:val="auto"/>
          <w:sz w:val="24"/>
          <w:highlight w:val="none"/>
          <w:u w:val="single"/>
        </w:rPr>
        <w:t>2</w:t>
      </w:r>
      <w:r>
        <w:rPr>
          <w:rFonts w:hint="eastAsia" w:ascii="仿宋" w:hAnsi="仿宋" w:eastAsia="仿宋" w:cs="仿宋"/>
          <w:color w:val="auto"/>
          <w:sz w:val="24"/>
          <w:highlight w:val="none"/>
        </w:rPr>
        <w:t>年，质保金为合同金额的3%。</w:t>
      </w:r>
    </w:p>
    <w:p>
      <w:pPr>
        <w:numPr>
          <w:ilvl w:val="1"/>
          <w:numId w:val="4"/>
        </w:numPr>
        <w:spacing w:line="520" w:lineRule="exact"/>
        <w:ind w:left="0" w:firstLine="0"/>
        <w:rPr>
          <w:rFonts w:ascii="仿宋" w:hAnsi="仿宋" w:eastAsia="仿宋" w:cs="仿宋"/>
          <w:color w:val="auto"/>
          <w:sz w:val="24"/>
          <w:highlight w:val="none"/>
        </w:rPr>
      </w:pPr>
      <w:r>
        <w:rPr>
          <w:rFonts w:ascii="仿宋" w:hAnsi="仿宋" w:eastAsia="仿宋" w:cs="仿宋"/>
          <w:color w:val="auto"/>
          <w:sz w:val="24"/>
          <w:highlight w:val="none"/>
        </w:rPr>
        <w:t>其他相关要求：正式送货之前，如需</w:t>
      </w:r>
      <w:r>
        <w:rPr>
          <w:rFonts w:hint="eastAsia" w:ascii="仿宋" w:hAnsi="仿宋" w:eastAsia="仿宋" w:cs="仿宋"/>
          <w:color w:val="auto"/>
          <w:sz w:val="24"/>
          <w:highlight w:val="none"/>
        </w:rPr>
        <w:t>乙</w:t>
      </w:r>
      <w:r>
        <w:rPr>
          <w:rFonts w:ascii="仿宋" w:hAnsi="仿宋" w:eastAsia="仿宋" w:cs="仿宋"/>
          <w:color w:val="auto"/>
          <w:sz w:val="24"/>
          <w:highlight w:val="none"/>
        </w:rPr>
        <w:t>方提供样品，</w:t>
      </w:r>
      <w:r>
        <w:rPr>
          <w:rFonts w:hint="eastAsia" w:ascii="仿宋" w:hAnsi="仿宋" w:eastAsia="仿宋" w:cs="仿宋"/>
          <w:color w:val="auto"/>
          <w:sz w:val="24"/>
          <w:highlight w:val="none"/>
        </w:rPr>
        <w:t>甲</w:t>
      </w:r>
      <w:r>
        <w:rPr>
          <w:rFonts w:ascii="仿宋" w:hAnsi="仿宋" w:eastAsia="仿宋" w:cs="仿宋"/>
          <w:color w:val="auto"/>
          <w:sz w:val="24"/>
          <w:highlight w:val="none"/>
        </w:rPr>
        <w:t>方应提前通知</w:t>
      </w:r>
      <w:r>
        <w:rPr>
          <w:rFonts w:hint="eastAsia" w:ascii="仿宋" w:hAnsi="仿宋" w:eastAsia="仿宋" w:cs="仿宋"/>
          <w:color w:val="auto"/>
          <w:sz w:val="24"/>
          <w:highlight w:val="none"/>
        </w:rPr>
        <w:t>乙</w:t>
      </w:r>
      <w:r>
        <w:rPr>
          <w:rFonts w:ascii="仿宋" w:hAnsi="仿宋" w:eastAsia="仿宋" w:cs="仿宋"/>
          <w:color w:val="auto"/>
          <w:sz w:val="24"/>
          <w:highlight w:val="none"/>
        </w:rPr>
        <w:t>方。</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验收方法</w:t>
      </w:r>
    </w:p>
    <w:p>
      <w:pPr>
        <w:pStyle w:val="16"/>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ascii="Calibri" w:hAnsi="Calibri" w:eastAsia="仿宋" w:cs="Times New Roman"/>
          <w:color w:val="auto"/>
          <w:highlight w:val="none"/>
        </w:rPr>
      </w:pPr>
      <w:r>
        <w:rPr>
          <w:rFonts w:hint="eastAsia" w:ascii="仿宋" w:hAnsi="仿宋" w:eastAsia="仿宋" w:cs="仿宋"/>
          <w:color w:val="auto"/>
          <w:sz w:val="24"/>
          <w:highlight w:val="none"/>
        </w:rPr>
        <w:t>按照国家、地方、行业的技术规范和</w:t>
      </w:r>
      <w:r>
        <w:rPr>
          <w:rFonts w:hint="eastAsia" w:ascii="仿宋" w:hAnsi="仿宋" w:eastAsia="仿宋" w:cs="仿宋"/>
          <w:color w:val="auto"/>
          <w:sz w:val="24"/>
          <w:highlight w:val="none"/>
          <w:lang w:val="en-US" w:eastAsia="zh-CN"/>
        </w:rPr>
        <w:t>甲方</w:t>
      </w:r>
      <w:r>
        <w:rPr>
          <w:rFonts w:hint="eastAsia" w:ascii="仿宋" w:hAnsi="仿宋" w:eastAsia="仿宋" w:cs="仿宋"/>
          <w:color w:val="auto"/>
          <w:sz w:val="24"/>
          <w:highlight w:val="none"/>
        </w:rPr>
        <w:t>采购标准验收，甲方对乙方所供货物进行现场随机抽检，检测范围由甲方决定，检测费用由甲方承担。</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交货地点、交货人员、交货期限</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交货地点：</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 xml:space="preserve"> 甲方指定交货地点，乙方按甲方的供货通知所要求的规格、数量，供应甲方合同明细中要求的物资。</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甲方指定收货人员：姓名</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highlight w:val="none"/>
        </w:rPr>
        <w:t>负责签字验收，甲方如要求变更验收签字人，应在交货前书面通知乙方，作为本合同的补充条款，非甲方指定人员签字的货单，甲方不予结算。</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交货日期：合同签订完成，甲方下采购订单，乙方收到订单后15天内具备供货条件，乙方收到每批次货物供货指令72小时内送达该项目指定地点。</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货款的结算及支付方式</w:t>
      </w:r>
    </w:p>
    <w:p>
      <w:pPr>
        <w:numPr>
          <w:ilvl w:val="1"/>
          <w:numId w:val="4"/>
        </w:numPr>
        <w:spacing w:line="520" w:lineRule="exact"/>
        <w:ind w:left="0" w:firstLine="0"/>
        <w:rPr>
          <w:rFonts w:ascii="仿宋" w:hAnsi="仿宋" w:eastAsia="仿宋" w:cs="仿宋"/>
          <w:color w:val="000000"/>
          <w:sz w:val="24"/>
          <w:highlight w:val="none"/>
        </w:rPr>
      </w:pPr>
      <w:r>
        <w:rPr>
          <w:rFonts w:hint="eastAsia" w:ascii="仿宋" w:hAnsi="仿宋" w:eastAsia="仿宋" w:cs="仿宋"/>
          <w:color w:val="auto"/>
          <w:sz w:val="24"/>
          <w:highlight w:val="none"/>
        </w:rPr>
        <w:t>计量方式：</w:t>
      </w:r>
      <w:r>
        <w:rPr>
          <w:rFonts w:hint="eastAsia" w:ascii="仿宋" w:hAnsi="仿宋" w:eastAsia="仿宋" w:cs="仿宋"/>
          <w:color w:val="000000"/>
          <w:sz w:val="24"/>
          <w:szCs w:val="24"/>
          <w:highlight w:val="none"/>
          <w:lang w:val="en-US" w:eastAsia="zh-CN"/>
        </w:rPr>
        <w:t>按实计量，以检尺点数结合的方式验收。</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付款方式：月结，当月20日至次月19日为一个结算周期。乙方将货物运至项目地点，结算周期结束后5日内双方就供应合格物资对账办理结算；对账结算完毕，乙方提交对应金额的发票，甲方收到发票后15个工作日内以包括但不限于现金、银行转账、银行承兑汇票等支付该月结算物资价款的97%，剩余3%作为质保金在质保期结束后无息</w:t>
      </w:r>
      <w:r>
        <w:rPr>
          <w:rFonts w:hint="eastAsia" w:ascii="仿宋" w:hAnsi="仿宋" w:eastAsia="仿宋" w:cs="仿宋"/>
          <w:color w:val="auto"/>
          <w:sz w:val="24"/>
          <w:highlight w:val="none"/>
          <w:lang w:val="en-US" w:eastAsia="zh-CN"/>
        </w:rPr>
        <w:t>支付</w:t>
      </w:r>
      <w:r>
        <w:rPr>
          <w:rFonts w:hint="eastAsia" w:ascii="仿宋" w:hAnsi="仿宋" w:eastAsia="仿宋" w:cs="仿宋"/>
          <w:color w:val="auto"/>
          <w:sz w:val="24"/>
          <w:highlight w:val="none"/>
        </w:rPr>
        <w:t>给乙方。（如甲方以银行承兑方式支付货款的，承兑贴现利息由甲方承担）</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乙方指定收款账户：</w:t>
      </w:r>
    </w:p>
    <w:p>
      <w:pPr>
        <w:spacing w:line="52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u w:val="single"/>
          <w:lang w:val="en-US" w:eastAsia="zh-CN"/>
        </w:rPr>
        <w:t xml:space="preserve"> </w:t>
      </w:r>
    </w:p>
    <w:p>
      <w:pPr>
        <w:spacing w:line="52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开 户 行：</w:t>
      </w:r>
      <w:r>
        <w:rPr>
          <w:rFonts w:hint="eastAsia" w:ascii="仿宋" w:hAnsi="仿宋" w:eastAsia="仿宋" w:cs="仿宋"/>
          <w:color w:val="auto"/>
          <w:sz w:val="24"/>
          <w:highlight w:val="none"/>
          <w:u w:val="single"/>
          <w:lang w:val="en-US" w:eastAsia="zh-CN"/>
        </w:rPr>
        <w:t xml:space="preserve"> </w:t>
      </w:r>
    </w:p>
    <w:p>
      <w:pPr>
        <w:spacing w:line="520" w:lineRule="exact"/>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rPr>
        <w:t>账    号：</w:t>
      </w:r>
      <w:r>
        <w:rPr>
          <w:rFonts w:hint="eastAsia" w:ascii="仿宋" w:hAnsi="仿宋" w:eastAsia="仿宋" w:cs="仿宋"/>
          <w:color w:val="auto"/>
          <w:kern w:val="0"/>
          <w:sz w:val="24"/>
          <w:highlight w:val="none"/>
          <w:u w:val="single"/>
          <w:lang w:val="en-US" w:eastAsia="zh-CN"/>
        </w:rPr>
        <w:t xml:space="preserve"> </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甲方开票信息：</w:t>
      </w:r>
    </w:p>
    <w:p>
      <w:pPr>
        <w:spacing w:line="520" w:lineRule="exact"/>
        <w:rPr>
          <w:rFonts w:ascii="仿宋" w:hAnsi="仿宋" w:eastAsia="仿宋" w:cs="仿宋"/>
          <w:color w:val="auto"/>
          <w:sz w:val="24"/>
          <w:highlight w:val="none"/>
        </w:rPr>
      </w:pPr>
      <w:r>
        <w:rPr>
          <w:rFonts w:hint="eastAsia" w:ascii="仿宋" w:hAnsi="仿宋" w:eastAsia="仿宋" w:cs="仿宋"/>
          <w:color w:val="auto"/>
          <w:highlight w:val="none"/>
        </w:rPr>
        <w:t>名</w:t>
      </w:r>
      <w:r>
        <w:rPr>
          <w:rFonts w:hint="eastAsia" w:ascii="仿宋" w:hAnsi="仿宋" w:eastAsia="仿宋" w:cs="仿宋"/>
          <w:color w:val="auto"/>
          <w:sz w:val="24"/>
          <w:highlight w:val="none"/>
        </w:rPr>
        <w:t xml:space="preserve">    称：</w:t>
      </w:r>
      <w:r>
        <w:rPr>
          <w:rFonts w:hint="eastAsia" w:ascii="仿宋" w:hAnsi="仿宋" w:eastAsia="仿宋" w:cs="仿宋"/>
          <w:color w:val="auto"/>
          <w:sz w:val="24"/>
          <w:highlight w:val="none"/>
          <w:u w:val="single"/>
        </w:rPr>
        <w:t>海南洋浦陆海国际贸易有限公司</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纳税人识别号：</w:t>
      </w:r>
      <w:r>
        <w:rPr>
          <w:rFonts w:hint="eastAsia" w:ascii="仿宋" w:hAnsi="仿宋" w:eastAsia="仿宋" w:cs="仿宋"/>
          <w:color w:val="auto"/>
          <w:sz w:val="24"/>
          <w:highlight w:val="none"/>
          <w:u w:val="single"/>
        </w:rPr>
        <w:t>91460000MABU89U388</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营业地址：</w:t>
      </w:r>
      <w:r>
        <w:rPr>
          <w:rFonts w:hint="eastAsia" w:ascii="仿宋" w:hAnsi="仿宋" w:eastAsia="仿宋" w:cs="仿宋"/>
          <w:color w:val="auto"/>
          <w:sz w:val="24"/>
          <w:highlight w:val="none"/>
          <w:u w:val="single"/>
        </w:rPr>
        <w:t>海南省洋浦经济开发区新英湾区控股大道洋浦大厦8楼818房</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电    话：</w:t>
      </w:r>
      <w:r>
        <w:rPr>
          <w:rFonts w:hint="eastAsia" w:ascii="仿宋" w:hAnsi="仿宋" w:eastAsia="仿宋" w:cs="仿宋"/>
          <w:color w:val="auto"/>
          <w:sz w:val="24"/>
          <w:highlight w:val="none"/>
          <w:u w:val="single"/>
        </w:rPr>
        <w:t>0898-28816705</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开 户 行：</w:t>
      </w:r>
      <w:r>
        <w:rPr>
          <w:rFonts w:hint="eastAsia" w:ascii="仿宋" w:hAnsi="仿宋" w:eastAsia="仿宋" w:cs="仿宋"/>
          <w:color w:val="auto"/>
          <w:sz w:val="24"/>
          <w:highlight w:val="none"/>
          <w:u w:val="single"/>
        </w:rPr>
        <w:t>海南银行股份有限公司洋浦支行</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银行账号：</w:t>
      </w:r>
      <w:r>
        <w:rPr>
          <w:rFonts w:hint="eastAsia" w:ascii="仿宋" w:hAnsi="仿宋" w:eastAsia="仿宋" w:cs="仿宋"/>
          <w:color w:val="auto"/>
          <w:sz w:val="24"/>
          <w:highlight w:val="none"/>
          <w:u w:val="single"/>
        </w:rPr>
        <w:t>6005178800010</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违约责任</w:t>
      </w:r>
    </w:p>
    <w:p>
      <w:pPr>
        <w:keepNext w:val="0"/>
        <w:keepLines w:val="0"/>
        <w:pageBreakBefore w:val="0"/>
        <w:widowControl w:val="0"/>
        <w:numPr>
          <w:ilvl w:val="1"/>
          <w:numId w:val="4"/>
        </w:numPr>
        <w:kinsoku/>
        <w:wordWrap/>
        <w:overflowPunct/>
        <w:topLinePunct w:val="0"/>
        <w:autoSpaceDE/>
        <w:autoSpaceDN/>
        <w:bidi w:val="0"/>
        <w:adjustRightInd/>
        <w:snapToGrid/>
        <w:spacing w:line="560" w:lineRule="exact"/>
        <w:ind w:left="0" w:firstLine="0"/>
        <w:textAlignment w:val="auto"/>
        <w:rPr>
          <w:rFonts w:hint="eastAsia" w:ascii="仿宋" w:hAnsi="仿宋" w:eastAsia="仿宋" w:cs="仿宋"/>
          <w:b w:val="0"/>
          <w:bCs w:val="0"/>
          <w:color w:val="000000"/>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乙方若不能按甲方需求在规定期限送至指定现场存货地点，乙方将承担因此造成的一切损失，并且甲方向乙方收取逾期运达物资总额（含增值税）每日0.5％的违约金，若逾期三天以上，则甲方有权因乙方违约而单方</w:t>
      </w:r>
      <w:r>
        <w:rPr>
          <w:rFonts w:hint="eastAsia" w:ascii="仿宋" w:hAnsi="仿宋" w:eastAsia="仿宋" w:cs="仿宋"/>
          <w:color w:val="auto"/>
          <w:sz w:val="24"/>
          <w:szCs w:val="24"/>
          <w:highlight w:val="none"/>
          <w:u w:val="none"/>
          <w:lang w:val="en-US" w:eastAsia="zh-CN"/>
        </w:rPr>
        <w:t>解除</w:t>
      </w:r>
      <w:r>
        <w:rPr>
          <w:rFonts w:hint="eastAsia" w:ascii="仿宋" w:hAnsi="仿宋" w:eastAsia="仿宋" w:cs="仿宋"/>
          <w:color w:val="auto"/>
          <w:sz w:val="24"/>
          <w:szCs w:val="24"/>
          <w:highlight w:val="none"/>
          <w:lang w:val="en-US" w:eastAsia="zh-CN"/>
        </w:rPr>
        <w:t>本合同。（产品实际运送到合同指定地点的时间为乙方的实际交货时间，并以此来确定是否构成逾期交货）；若因乙方逾期供货，导致甲方所负责供应的项目工期延误，甲方因此而遭受损失的，则甲方可按照批次货价的20%收取违约金并在结算时扣除，同时可要求乙方赔偿因工程延期而使甲方遭受的全部损失。若出现此类情况两次，则甲方可单方解除合同。</w:t>
      </w:r>
      <w:r>
        <w:rPr>
          <w:rFonts w:hint="eastAsia" w:ascii="仿宋" w:hAnsi="仿宋" w:eastAsia="仿宋" w:cs="仿宋"/>
          <w:b w:val="0"/>
          <w:bCs w:val="0"/>
          <w:color w:val="000000"/>
          <w:kern w:val="2"/>
          <w:sz w:val="24"/>
          <w:szCs w:val="24"/>
          <w:highlight w:val="none"/>
          <w:lang w:val="en-US" w:eastAsia="zh-CN" w:bidi="ar-SA"/>
        </w:rPr>
        <w:t>乙方不得因甲方未按期付款而停止供应，如因停止供应造成的损失参照乙方逾期供应违约责任执行。</w:t>
      </w:r>
    </w:p>
    <w:p>
      <w:pPr>
        <w:keepNext w:val="0"/>
        <w:keepLines w:val="0"/>
        <w:pageBreakBefore w:val="0"/>
        <w:widowControl w:val="0"/>
        <w:numPr>
          <w:ilvl w:val="1"/>
          <w:numId w:val="4"/>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本合同所采购与供应的物资，在进场验收或使用过程中（规定质量保证期限内）出现品牌规格数量不符、单据丢失、物资质量不达标等问题，甲方可按下列条款中的一条或多条向乙方主张权利：</w:t>
      </w:r>
    </w:p>
    <w:p>
      <w:pPr>
        <w:spacing w:line="5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（1）甲方有权拒收物资，乙方应把被拒收物资的预付货款返还甲方。</w:t>
      </w:r>
    </w:p>
    <w:p>
      <w:pPr>
        <w:spacing w:line="5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（2）要求乙方承担退货过程中发生的一切损失和费用，包括利息、银行费用、运输和保险费、检验费、仓储和装卸费以及为保管和保护退货货物所需的其它费用。</w:t>
      </w:r>
    </w:p>
    <w:p>
      <w:pPr>
        <w:spacing w:line="5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若乙方出现单据丢失等情况，则甲方对乙方每次处以500元人民币的违约金，且乙方必须负责将有关单据补充完善；若因此类情况导致工期出现延误的，导致甲方遭受损失，甲方有权要求乙方按照当批次货价20%支付违约金，并赔偿由此遭受的全部损失；若出现此类情况两次，则甲方可单方解除合同。</w:t>
      </w:r>
    </w:p>
    <w:p>
      <w:pPr>
        <w:spacing w:line="5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（4）若出现规格数量不符的情况，</w:t>
      </w:r>
      <w:r>
        <w:rPr>
          <w:rFonts w:hint="eastAsia" w:ascii="仿宋" w:hAnsi="仿宋" w:eastAsia="仿宋" w:cs="仿宋"/>
          <w:color w:val="auto"/>
          <w:sz w:val="24"/>
          <w:highlight w:val="none"/>
        </w:rPr>
        <w:t>甲方有权要求乙方在</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日内补足所要求规格或数量的物资，</w:t>
      </w:r>
      <w:r>
        <w:rPr>
          <w:rFonts w:hint="eastAsia" w:ascii="仿宋" w:hAnsi="仿宋" w:eastAsia="仿宋" w:cs="仿宋"/>
          <w:color w:val="auto"/>
          <w:sz w:val="24"/>
          <w:szCs w:val="24"/>
          <w:highlight w:val="none"/>
          <w:lang w:val="en-US" w:eastAsia="zh-CN"/>
        </w:rPr>
        <w:t>甲方对乙方每次处以1000元人民币的违约金；若因此类情况导致工期出现延误的，导致甲方遭受损失，甲方有权要求乙方按照当批次货价20%支付违约金，并赔偿由此遭受的全部损失；若出现此类情况两次，则甲方可单方解除合同。</w:t>
      </w:r>
    </w:p>
    <w:p>
      <w:pPr>
        <w:spacing w:line="560" w:lineRule="exact"/>
        <w:rPr>
          <w:rFonts w:ascii="仿宋" w:hAnsi="仿宋" w:eastAsia="仿宋" w:cs="仿宋"/>
          <w:color w:val="000000"/>
          <w:sz w:val="24"/>
          <w:highlight w:val="none"/>
        </w:rPr>
      </w:pPr>
      <w:r>
        <w:rPr>
          <w:rFonts w:hint="eastAsia" w:ascii="仿宋" w:hAnsi="仿宋" w:eastAsia="仿宋" w:cs="仿宋"/>
          <w:color w:val="000000"/>
          <w:sz w:val="24"/>
          <w:highlight w:val="none"/>
        </w:rPr>
        <w:t>（5）若出现质量不合格或随机抽检不合格的产品，甲方有权邀请具有检测资质的检测机构进行全面检验，并出具检验证书，若证实乙方所供物资不符合要求，甲方对乙方每次处</w:t>
      </w:r>
      <w:r>
        <w:rPr>
          <w:rFonts w:hint="eastAsia" w:ascii="仿宋" w:hAnsi="仿宋" w:eastAsia="仿宋" w:cs="仿宋"/>
          <w:color w:val="000000"/>
          <w:sz w:val="24"/>
          <w:highlight w:val="none"/>
          <w:lang w:val="en-US" w:eastAsia="zh-CN"/>
        </w:rPr>
        <w:t>以</w:t>
      </w:r>
      <w:r>
        <w:rPr>
          <w:rFonts w:hint="eastAsia" w:ascii="仿宋" w:hAnsi="仿宋" w:eastAsia="仿宋" w:cs="仿宋"/>
          <w:color w:val="000000"/>
          <w:sz w:val="24"/>
          <w:highlight w:val="none"/>
        </w:rPr>
        <w:t>20000元人民币的</w:t>
      </w:r>
      <w:r>
        <w:rPr>
          <w:rFonts w:hint="eastAsia" w:ascii="仿宋" w:hAnsi="仿宋" w:eastAsia="仿宋" w:cs="仿宋"/>
          <w:color w:val="000000"/>
          <w:sz w:val="24"/>
          <w:highlight w:val="none"/>
          <w:lang w:eastAsia="zh-CN"/>
        </w:rPr>
        <w:t>违约金</w:t>
      </w:r>
      <w:r>
        <w:rPr>
          <w:rFonts w:hint="eastAsia" w:ascii="仿宋" w:hAnsi="仿宋" w:eastAsia="仿宋" w:cs="仿宋"/>
          <w:color w:val="000000"/>
          <w:sz w:val="24"/>
          <w:highlight w:val="none"/>
        </w:rPr>
        <w:t>，最高不超过合同总金额的10%，若因此类情况导致工期出现延误的，导致甲方遭受损失，甲方有权要求乙方按照当批次货价20%支付违约金，并赔偿由此遭受的全部损失；乙方需72小时内更换有缺陷的物资，以达到合同约定的质量和性能，不能及时更换，则乙方需承担每次500元的</w:t>
      </w:r>
      <w:r>
        <w:rPr>
          <w:rFonts w:hint="eastAsia" w:ascii="仿宋" w:hAnsi="仿宋" w:eastAsia="仿宋" w:cs="仿宋"/>
          <w:color w:val="000000"/>
          <w:sz w:val="24"/>
          <w:highlight w:val="none"/>
          <w:lang w:val="en-US" w:eastAsia="zh-CN"/>
        </w:rPr>
        <w:t>违约金</w:t>
      </w:r>
      <w:r>
        <w:rPr>
          <w:rFonts w:hint="eastAsia" w:ascii="仿宋" w:hAnsi="仿宋" w:eastAsia="仿宋" w:cs="仿宋"/>
          <w:color w:val="000000"/>
          <w:sz w:val="24"/>
          <w:highlight w:val="none"/>
        </w:rPr>
        <w:t>，且乙方承担一切费用和风险，同时相应延长被更换物资的质量保证期；若出现此类情况两次，则甲方可单方解除合同。</w:t>
      </w:r>
    </w:p>
    <w:p>
      <w:pPr>
        <w:keepNext w:val="0"/>
        <w:keepLines w:val="0"/>
        <w:pageBreakBefore w:val="0"/>
        <w:widowControl w:val="0"/>
        <w:numPr>
          <w:ilvl w:val="1"/>
          <w:numId w:val="4"/>
        </w:numPr>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甲方向乙方支付结算货款前，乙方应向甲方开具信息真实、准确、合规合法的增值税专用发票。因乙方开具的发票不规范、不合法或涉嫌虚开发票，给甲方造成无法及时认证、抵扣发票等税务问题，甲方有权据此不支付相应的货款，且不构成合同违约，乙方应向甲方重新开具发票，并向甲方承担赔偿责任。</w:t>
      </w:r>
      <w:r>
        <w:rPr>
          <w:rFonts w:hint="eastAsia" w:ascii="仿宋" w:hAnsi="仿宋" w:eastAsia="仿宋" w:cs="仿宋"/>
          <w:b w:val="0"/>
          <w:bCs w:val="0"/>
          <w:color w:val="000000"/>
          <w:kern w:val="2"/>
          <w:sz w:val="24"/>
          <w:szCs w:val="24"/>
          <w:highlight w:val="none"/>
          <w:lang w:val="en-US" w:eastAsia="zh-CN" w:bidi="ar-SA"/>
        </w:rPr>
        <w:t>如因业主、政府未及时付款而造成甲方逾期付款的，</w:t>
      </w:r>
      <w:r>
        <w:rPr>
          <w:rFonts w:hint="eastAsia" w:ascii="仿宋" w:hAnsi="仿宋" w:eastAsia="仿宋" w:cs="仿宋"/>
          <w:color w:val="000000"/>
          <w:sz w:val="24"/>
          <w:highlight w:val="none"/>
        </w:rPr>
        <w:t>乙方应予理解，</w:t>
      </w:r>
      <w:r>
        <w:rPr>
          <w:rFonts w:hint="eastAsia" w:ascii="仿宋" w:hAnsi="仿宋" w:eastAsia="仿宋" w:cs="仿宋"/>
          <w:b w:val="0"/>
          <w:bCs w:val="0"/>
          <w:color w:val="000000"/>
          <w:kern w:val="2"/>
          <w:sz w:val="24"/>
          <w:szCs w:val="24"/>
          <w:highlight w:val="none"/>
          <w:lang w:val="en-US" w:eastAsia="zh-CN" w:bidi="ar-SA"/>
        </w:rPr>
        <w:t>甲方</w:t>
      </w:r>
      <w:r>
        <w:rPr>
          <w:rFonts w:hint="default" w:ascii="仿宋" w:hAnsi="仿宋" w:eastAsia="仿宋" w:cs="仿宋"/>
          <w:b w:val="0"/>
          <w:bCs w:val="0"/>
          <w:color w:val="000000"/>
          <w:kern w:val="2"/>
          <w:sz w:val="24"/>
          <w:szCs w:val="24"/>
          <w:highlight w:val="none"/>
          <w:lang w:val="en-US" w:eastAsia="zh-CN" w:bidi="ar-SA"/>
        </w:rPr>
        <w:t>不因此承担逾期付款违约责任，且甲方不承担逾期付款的</w:t>
      </w:r>
      <w:r>
        <w:rPr>
          <w:rFonts w:hint="eastAsia" w:ascii="仿宋" w:hAnsi="仿宋" w:eastAsia="仿宋" w:cs="仿宋"/>
          <w:b w:val="0"/>
          <w:bCs w:val="0"/>
          <w:color w:val="000000"/>
          <w:kern w:val="2"/>
          <w:sz w:val="24"/>
          <w:szCs w:val="24"/>
          <w:highlight w:val="none"/>
          <w:lang w:val="en-US" w:eastAsia="zh-CN" w:bidi="ar-SA"/>
        </w:rPr>
        <w:t>利息。</w:t>
      </w:r>
    </w:p>
    <w:p>
      <w:pPr>
        <w:keepNext w:val="0"/>
        <w:keepLines w:val="0"/>
        <w:pageBreakBefore w:val="0"/>
        <w:widowControl w:val="0"/>
        <w:numPr>
          <w:ilvl w:val="1"/>
          <w:numId w:val="4"/>
        </w:numPr>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val="0"/>
          <w:bCs/>
          <w:color w:val="000000"/>
          <w:sz w:val="24"/>
          <w:szCs w:val="24"/>
          <w:highlight w:val="none"/>
        </w:rPr>
      </w:pPr>
      <w:r>
        <w:rPr>
          <w:rFonts w:hint="eastAsia" w:ascii="仿宋" w:hAnsi="仿宋" w:eastAsia="仿宋" w:cs="仿宋"/>
          <w:b w:val="0"/>
          <w:bCs/>
          <w:color w:val="000000"/>
          <w:sz w:val="24"/>
          <w:szCs w:val="24"/>
          <w:highlight w:val="none"/>
        </w:rPr>
        <w:t>任何一方违反本合同的义务给其他守约方造成损失的，违约方都应当立即停止违约行为，并承担赔偿损失责任</w:t>
      </w:r>
      <w:r>
        <w:rPr>
          <w:rFonts w:hint="eastAsia" w:ascii="仿宋" w:hAnsi="仿宋" w:eastAsia="仿宋" w:cs="仿宋"/>
          <w:bCs/>
          <w:color w:val="000000"/>
          <w:sz w:val="24"/>
          <w:highlight w:val="none"/>
        </w:rPr>
        <w:t>及支付相关合理费用</w:t>
      </w:r>
      <w:r>
        <w:rPr>
          <w:rFonts w:hint="eastAsia" w:ascii="仿宋" w:hAnsi="仿宋" w:eastAsia="仿宋" w:cs="仿宋"/>
          <w:b w:val="0"/>
          <w:bCs/>
          <w:color w:val="000000"/>
          <w:sz w:val="24"/>
          <w:szCs w:val="24"/>
          <w:highlight w:val="none"/>
        </w:rPr>
        <w:t>，包括但不限于守约方为追索权利而支出的诉讼费、保全费、评估费、鉴定费、调查费、公证费、律师费，以及向第三方支付的赔偿、为应对第三方的指控而支付的一切费用。</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合同生效及争议解决</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本合同经双方加盖公章后生效，有效期至合同履约完毕</w:t>
      </w:r>
      <w:r>
        <w:rPr>
          <w:rFonts w:hint="eastAsia" w:ascii="仿宋" w:hAnsi="仿宋" w:eastAsia="仿宋" w:cs="仿宋"/>
          <w:color w:val="auto"/>
          <w:sz w:val="24"/>
          <w:highlight w:val="none"/>
          <w:lang w:val="en-US" w:eastAsia="zh-CN"/>
        </w:rPr>
        <w:t>货、款</w:t>
      </w:r>
      <w:r>
        <w:rPr>
          <w:rFonts w:hint="eastAsia" w:ascii="仿宋" w:hAnsi="仿宋" w:eastAsia="仿宋" w:cs="仿宋"/>
          <w:color w:val="auto"/>
          <w:sz w:val="24"/>
          <w:highlight w:val="none"/>
        </w:rPr>
        <w:t>两清后自动</w:t>
      </w:r>
      <w:r>
        <w:rPr>
          <w:rFonts w:hint="eastAsia" w:ascii="仿宋" w:hAnsi="仿宋" w:eastAsia="仿宋" w:cs="仿宋"/>
          <w:color w:val="auto"/>
          <w:sz w:val="24"/>
          <w:highlight w:val="none"/>
          <w:lang w:val="en-US" w:eastAsia="zh-CN"/>
        </w:rPr>
        <w:t>终止</w:t>
      </w:r>
      <w:r>
        <w:rPr>
          <w:rFonts w:hint="eastAsia" w:ascii="仿宋" w:hAnsi="仿宋" w:eastAsia="仿宋" w:cs="仿宋"/>
          <w:color w:val="auto"/>
          <w:sz w:val="24"/>
          <w:highlight w:val="none"/>
        </w:rPr>
        <w:t xml:space="preserve"> ；本合同未尽事宜，由甲乙双方另行协商并签订补充协议。</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因本合同（协议）引起的一切争议， 由双方当事人协商解决；协商不成，双方将争议提交甲方所在地人民法院解决。</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通知及送达</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任何一方向对方发出的任何通知均应采取书面形式，并以电话通知对方加以确认。双方共同确认以下联系人、电话、电子邮箱、地址可被用于各方之间书面材料、文件、图纸等送达之联络信息，也可用作于政府部门、人民法院等材料送达之联络信息。</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甲方</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联系电话：              </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联系邮箱：liml@hnyplh.com                 </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联系地址：海南省儋州市洋浦经济开发区洋浦国际商业大厦305室             </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乙方</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52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联系邮箱：</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w:t>
      </w:r>
    </w:p>
    <w:p>
      <w:pPr>
        <w:spacing w:line="520" w:lineRule="exact"/>
        <w:rPr>
          <w:rFonts w:hint="default"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rPr>
        <w:t>联系地址：</w:t>
      </w:r>
      <w:r>
        <w:rPr>
          <w:rFonts w:hint="eastAsia" w:ascii="仿宋" w:hAnsi="仿宋" w:eastAsia="仿宋" w:cs="仿宋"/>
          <w:color w:val="auto"/>
          <w:sz w:val="24"/>
          <w:highlight w:val="none"/>
          <w:u w:val="none"/>
          <w:lang w:val="en-US" w:eastAsia="zh-CN"/>
        </w:rPr>
        <w:t>海南省海口市龙华区海秀中路121号宝迪花苑A栋1205室</w:t>
      </w:r>
      <w:r>
        <w:rPr>
          <w:rFonts w:hint="eastAsia" w:ascii="仿宋" w:hAnsi="仿宋" w:eastAsia="仿宋" w:cs="仿宋"/>
          <w:color w:val="auto"/>
          <w:sz w:val="24"/>
          <w:highlight w:val="none"/>
          <w:u w:val="none"/>
        </w:rPr>
        <w:t xml:space="preserve">  </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 xml:space="preserve"> 任何一方变更本合同所示的项目联系人及联系方式，应提前3日书面通知对方。否则对方有权依据本合同载明的联络信息进行联系，且视为送达。 </w:t>
      </w:r>
    </w:p>
    <w:p>
      <w:pPr>
        <w:numPr>
          <w:ilvl w:val="0"/>
          <w:numId w:val="4"/>
        </w:numPr>
        <w:spacing w:line="520" w:lineRule="exact"/>
        <w:ind w:left="0" w:firstLine="0"/>
        <w:rPr>
          <w:rFonts w:ascii="仿宋" w:hAnsi="仿宋" w:eastAsia="仿宋" w:cs="仿宋"/>
          <w:b/>
          <w:color w:val="auto"/>
          <w:sz w:val="24"/>
          <w:highlight w:val="none"/>
        </w:rPr>
      </w:pPr>
      <w:r>
        <w:rPr>
          <w:rFonts w:hint="eastAsia" w:ascii="仿宋" w:hAnsi="仿宋" w:eastAsia="仿宋" w:cs="仿宋"/>
          <w:b/>
          <w:color w:val="auto"/>
          <w:sz w:val="24"/>
          <w:highlight w:val="none"/>
        </w:rPr>
        <w:t>其他约定事项</w:t>
      </w:r>
    </w:p>
    <w:p>
      <w:pPr>
        <w:numPr>
          <w:ilvl w:val="1"/>
          <w:numId w:val="4"/>
        </w:numPr>
        <w:spacing w:line="520" w:lineRule="exact"/>
        <w:ind w:left="0" w:firstLine="0"/>
        <w:rPr>
          <w:rFonts w:ascii="仿宋" w:hAnsi="仿宋" w:eastAsia="仿宋" w:cs="仿宋"/>
          <w:color w:val="auto"/>
          <w:sz w:val="24"/>
          <w:highlight w:val="none"/>
        </w:rPr>
      </w:pPr>
      <w:r>
        <w:rPr>
          <w:rFonts w:hint="eastAsia" w:ascii="仿宋" w:hAnsi="仿宋" w:eastAsia="仿宋" w:cs="仿宋"/>
          <w:color w:val="auto"/>
          <w:sz w:val="24"/>
          <w:highlight w:val="none"/>
        </w:rPr>
        <w:t xml:space="preserve">双方往来均以书面形式（指合同书、函件、传真）为准。 </w:t>
      </w:r>
    </w:p>
    <w:p>
      <w:pPr>
        <w:numPr>
          <w:ilvl w:val="1"/>
          <w:numId w:val="4"/>
        </w:numPr>
        <w:spacing w:line="520" w:lineRule="exact"/>
        <w:ind w:left="0" w:firstLine="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本合同一式肆份，甲方贰份，乙方贰份</w:t>
      </w:r>
      <w:r>
        <w:rPr>
          <w:rFonts w:hint="eastAsia" w:ascii="仿宋" w:hAnsi="仿宋" w:eastAsia="仿宋" w:cs="仿宋"/>
          <w:color w:val="000000" w:themeColor="text1"/>
          <w:sz w:val="24"/>
          <w:szCs w:val="24"/>
          <w:highlight w:val="none"/>
          <w14:textFill>
            <w14:solidFill>
              <w14:schemeClr w14:val="tx1"/>
            </w14:solidFill>
          </w14:textFill>
        </w:rPr>
        <w:t>，均具有同等法律效力</w:t>
      </w:r>
      <w:r>
        <w:rPr>
          <w:rFonts w:hint="eastAsia" w:ascii="仿宋" w:hAnsi="仿宋" w:eastAsia="仿宋" w:cs="仿宋"/>
          <w:color w:val="auto"/>
          <w:sz w:val="24"/>
          <w:highlight w:val="none"/>
        </w:rPr>
        <w:t>。</w:t>
      </w:r>
    </w:p>
    <w:p>
      <w:pPr>
        <w:numPr>
          <w:ilvl w:val="-1"/>
          <w:numId w:val="0"/>
        </w:numPr>
        <w:spacing w:line="520" w:lineRule="exact"/>
        <w:ind w:left="0" w:leftChars="0" w:firstLine="0"/>
        <w:rPr>
          <w:rFonts w:hint="eastAsia" w:ascii="仿宋" w:hAnsi="仿宋" w:eastAsia="仿宋" w:cs="仿宋"/>
          <w:color w:val="auto"/>
          <w:sz w:val="24"/>
          <w:highlight w:val="none"/>
        </w:rPr>
      </w:pPr>
    </w:p>
    <w:p>
      <w:pPr>
        <w:pStyle w:val="8"/>
        <w:tabs>
          <w:tab w:val="left" w:pos="992"/>
        </w:tabs>
        <w:spacing w:line="5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甲方（盖章）：                       乙方（盖章）：                           </w:t>
      </w:r>
    </w:p>
    <w:p>
      <w:pPr>
        <w:pStyle w:val="8"/>
        <w:tabs>
          <w:tab w:val="left" w:pos="992"/>
        </w:tabs>
        <w:spacing w:line="520" w:lineRule="exact"/>
        <w:rPr>
          <w:rFonts w:ascii="仿宋" w:hAnsi="仿宋" w:eastAsia="仿宋" w:cs="仿宋"/>
          <w:color w:val="auto"/>
          <w:sz w:val="24"/>
          <w:szCs w:val="24"/>
          <w:highlight w:val="none"/>
        </w:rPr>
      </w:pPr>
    </w:p>
    <w:p>
      <w:pPr>
        <w:pStyle w:val="8"/>
        <w:tabs>
          <w:tab w:val="left" w:pos="992"/>
        </w:tabs>
        <w:spacing w:line="520" w:lineRule="exact"/>
        <w:rPr>
          <w:rFonts w:ascii="仿宋" w:hAnsi="仿宋" w:eastAsia="仿宋" w:cs="仿宋"/>
          <w:color w:val="auto"/>
          <w:sz w:val="24"/>
          <w:szCs w:val="24"/>
          <w:highlight w:val="none"/>
        </w:rPr>
      </w:pPr>
    </w:p>
    <w:p>
      <w:pPr>
        <w:pStyle w:val="8"/>
        <w:tabs>
          <w:tab w:val="left" w:pos="992"/>
        </w:tabs>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签署日期：</w:t>
      </w:r>
      <w:r>
        <w:rPr>
          <w:rFonts w:hint="eastAsia" w:ascii="仿宋" w:hAnsi="仿宋" w:eastAsia="仿宋" w:cs="仿宋"/>
          <w:color w:val="auto"/>
          <w:sz w:val="24"/>
          <w:szCs w:val="24"/>
          <w:highlight w:val="none"/>
          <w:u w:val="single"/>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line="480" w:lineRule="exact"/>
        <w:ind w:firstLine="0" w:firstLineChars="0"/>
        <w:jc w:val="left"/>
        <w:rPr>
          <w:rFonts w:hint="eastAsia" w:ascii="仿宋" w:hAnsi="仿宋" w:eastAsia="仿宋" w:cs="仿宋"/>
          <w:b w:val="0"/>
          <w:sz w:val="24"/>
          <w:szCs w:val="24"/>
          <w:highlight w:val="none"/>
          <w:lang w:val="en-US" w:eastAsia="zh-CN"/>
        </w:rPr>
        <w:sectPr>
          <w:pgSz w:w="11906" w:h="16838"/>
          <w:cols w:space="720" w:num="1"/>
          <w:docGrid w:type="lines" w:linePitch="312" w:charSpace="0"/>
        </w:sectPr>
      </w:pPr>
    </w:p>
    <w:p>
      <w:pPr>
        <w:spacing w:line="480" w:lineRule="exact"/>
        <w:ind w:firstLine="0" w:firstLineChars="0"/>
        <w:jc w:val="left"/>
        <w:rPr>
          <w:rFonts w:hint="eastAsia" w:ascii="仿宋" w:hAnsi="仿宋" w:eastAsia="仿宋" w:cs="仿宋"/>
          <w:b w:val="0"/>
          <w:sz w:val="24"/>
          <w:szCs w:val="24"/>
          <w:highlight w:val="none"/>
          <w:lang w:val="en-US" w:eastAsia="zh-CN"/>
        </w:rPr>
      </w:pPr>
      <w:r>
        <w:rPr>
          <w:rFonts w:hint="eastAsia" w:ascii="仿宋" w:hAnsi="仿宋" w:eastAsia="仿宋" w:cs="仿宋"/>
          <w:b w:val="0"/>
          <w:sz w:val="24"/>
          <w:szCs w:val="24"/>
          <w:highlight w:val="none"/>
          <w:lang w:val="en-US" w:eastAsia="zh-CN"/>
        </w:rPr>
        <w:t>附件</w:t>
      </w:r>
    </w:p>
    <w:p>
      <w:pPr>
        <w:spacing w:line="440" w:lineRule="exact"/>
        <w:ind w:firstLine="3534" w:firstLineChars="800"/>
        <w:jc w:val="both"/>
        <w:rPr>
          <w:rFonts w:hint="eastAsia" w:ascii="仿宋" w:hAnsi="仿宋" w:eastAsia="仿宋" w:cs="仿宋"/>
          <w:sz w:val="24"/>
          <w:highlight w:val="none"/>
        </w:rPr>
      </w:pPr>
      <w:r>
        <w:rPr>
          <w:rFonts w:hint="eastAsia" w:ascii="仿宋" w:hAnsi="仿宋" w:eastAsia="仿宋" w:cs="仿宋"/>
          <w:b/>
          <w:sz w:val="44"/>
          <w:szCs w:val="44"/>
          <w:highlight w:val="none"/>
        </w:rPr>
        <w:t>廉洁协议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甲方：【</w:t>
      </w:r>
      <w:r>
        <w:rPr>
          <w:rFonts w:hint="eastAsia" w:ascii="仿宋" w:hAnsi="仿宋" w:eastAsia="仿宋" w:cs="仿宋"/>
          <w:sz w:val="24"/>
          <w:szCs w:val="24"/>
          <w:highlight w:val="none"/>
          <w:lang w:val="en-US" w:eastAsia="zh-CN"/>
        </w:rPr>
        <w:t>海南洋浦陆海国际贸易有限公司</w:t>
      </w:r>
      <w:r>
        <w:rPr>
          <w:rFonts w:hint="eastAsia" w:ascii="仿宋" w:hAnsi="仿宋" w:eastAsia="仿宋" w:cs="仿宋"/>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为规范合同签订和履约过程中的各项活动，防止发生各种谋取不正当利益的违法、违纪行为，保护国家、集体和甲乙双方的合法权益，根据国家有关政策、法律法规和廉政建设的各项规定，双方协商一致签订廉洁合同，作为甲乙双方共同遵守的行为准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一、适用范围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本合同适用于甲方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乙方</w:t>
      </w:r>
      <w:r>
        <w:rPr>
          <w:rFonts w:hint="eastAsia" w:ascii="仿宋" w:hAnsi="仿宋" w:eastAsia="仿宋" w:cs="仿宋"/>
          <w:sz w:val="24"/>
          <w:szCs w:val="24"/>
          <w:highlight w:val="none"/>
          <w:lang w:val="en-US" w:eastAsia="zh-CN"/>
        </w:rPr>
        <w:t>的所有</w:t>
      </w:r>
      <w:r>
        <w:rPr>
          <w:rFonts w:hint="eastAsia" w:ascii="仿宋" w:hAnsi="仿宋" w:eastAsia="仿宋" w:cs="仿宋"/>
          <w:sz w:val="24"/>
          <w:szCs w:val="24"/>
          <w:highlight w:val="none"/>
        </w:rPr>
        <w:t>工作人员。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二、甲方对其工作人员的廉洁要求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甲方禁止其工作人员从事如下行为：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2.1向乙方索要贿赂、收受回扣及好处费、感谢费等；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2.2接受乙方馈赠的礼品礼金、通讯工具、交通工具、家电、高档办公用品、购物卡券等；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2.3 以洽谈业务、签订经济合同为借口，接受乙方或其工作人员外出旅游和进入营业性高档娱乐场所的邀请；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2.4以个人名义向乙方推荐和指定分包单位、材料供应商，向乙方、分包单位、材料供应商等单位介绍其配偶、子女、亲属等特定关系人从事与履行甲乙双方间合同有关的营利性经营活动；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2.5要求或者接受乙方为其住房装修、婚丧嫁娶、家属和子女的工作安排以及出境等提供方便；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2.6利用职务便利，向乙方或分包、协作队伍、材料供应商借用交通工具、工款等，或提出、暗示其他不正当要求；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2.7 要求乙方报销任何应由其个人承担的费用；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2.8 参加有可能影响公正开展工作的宴请、娱乐或其它活动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2.9 进行其他违反政策、法律法规或廉洁从业要求的其他行为。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三、乙方发现甲方工作人员有本合同第二条所列任何行为，有义务拒绝，亦有义务向甲方举报。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甲方接受举报的途径如下：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公司受理部门：纪检监察</w:t>
      </w:r>
      <w:r>
        <w:rPr>
          <w:rFonts w:hint="eastAsia" w:ascii="仿宋" w:hAnsi="仿宋" w:eastAsia="仿宋" w:cs="仿宋"/>
          <w:sz w:val="24"/>
          <w:szCs w:val="24"/>
          <w:highlight w:val="none"/>
          <w:lang w:val="en-US" w:eastAsia="zh-CN"/>
        </w:rPr>
        <w:t>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公司受理电话：</w:t>
      </w:r>
      <w:r>
        <w:rPr>
          <w:rFonts w:hint="eastAsia" w:ascii="仿宋" w:hAnsi="仿宋" w:eastAsia="仿宋" w:cs="仿宋"/>
          <w:sz w:val="24"/>
          <w:szCs w:val="24"/>
          <w:highlight w:val="none"/>
          <w:lang w:val="en-US" w:eastAsia="zh-CN"/>
        </w:rPr>
        <w:t>0898-28810186</w:t>
      </w:r>
      <w:r>
        <w:rPr>
          <w:rFonts w:hint="eastAsia" w:ascii="仿宋" w:hAnsi="仿宋" w:eastAsia="仿宋" w:cs="仿宋"/>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公司受理邮箱：chengl@hnyplh.com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sz w:val="24"/>
          <w:szCs w:val="24"/>
          <w:highlight w:val="none"/>
        </w:rPr>
        <w:t>四、乙方不得主动或被动从事或配合甲方工作人员从事违反本合同第二条所列的禁止事项，否则甲方有权解除合同，同时</w:t>
      </w:r>
      <w:r>
        <w:rPr>
          <w:rFonts w:hint="eastAsia" w:ascii="仿宋" w:hAnsi="仿宋" w:eastAsia="仿宋" w:cs="仿宋"/>
          <w:b w:val="0"/>
          <w:bCs w:val="0"/>
          <w:sz w:val="24"/>
          <w:szCs w:val="24"/>
          <w:highlight w:val="none"/>
        </w:rPr>
        <w:t>乙方应向甲方支付合同（暂定）总价（无总价的，按照过去两年双方履行的合同总额）20%的违约金或</w:t>
      </w: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rPr>
        <w:t>0万元作为违约金（以两者中较高者为准）；乙方应同时赔偿甲方因其工作人员违反廉洁要求而遭受的损失。乙方同意同时承担违约金和赔偿责任。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五、乙方若须按照本廉洁协议约定承担违约责任，并不影响其按照主合同的约定承担违约责任。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六、本廉洁协作为合同的附件，与合同具有同等法律效力，经合同双方签署后生效。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七、本合同【一式肆份，甲方执</w:t>
      </w:r>
      <w:r>
        <w:rPr>
          <w:rFonts w:hint="eastAsia" w:ascii="仿宋" w:hAnsi="仿宋" w:eastAsia="仿宋" w:cs="仿宋"/>
          <w:sz w:val="24"/>
          <w:szCs w:val="24"/>
          <w:highlight w:val="none"/>
          <w:lang w:val="en-US" w:eastAsia="zh-CN"/>
        </w:rPr>
        <w:t>贰</w:t>
      </w:r>
      <w:r>
        <w:rPr>
          <w:rFonts w:hint="eastAsia" w:ascii="仿宋" w:hAnsi="仿宋" w:eastAsia="仿宋" w:cs="仿宋"/>
          <w:sz w:val="24"/>
          <w:szCs w:val="24"/>
          <w:highlight w:val="none"/>
        </w:rPr>
        <w:t>份,乙方执</w:t>
      </w:r>
      <w:r>
        <w:rPr>
          <w:rFonts w:hint="eastAsia" w:ascii="仿宋" w:hAnsi="仿宋" w:eastAsia="仿宋" w:cs="仿宋"/>
          <w:sz w:val="24"/>
          <w:szCs w:val="24"/>
          <w:highlight w:val="none"/>
          <w:lang w:val="en-US" w:eastAsia="zh-CN"/>
        </w:rPr>
        <w:t>贰</w:t>
      </w:r>
      <w:r>
        <w:rPr>
          <w:rFonts w:hint="eastAsia" w:ascii="仿宋" w:hAnsi="仿宋" w:eastAsia="仿宋" w:cs="仿宋"/>
          <w:sz w:val="24"/>
          <w:szCs w:val="24"/>
          <w:highlight w:val="none"/>
        </w:rPr>
        <w:t>份】，具有同等效力。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6240" w:hanging="6240" w:hangingChars="26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甲方：【</w:t>
      </w:r>
      <w:r>
        <w:rPr>
          <w:rFonts w:hint="eastAsia" w:ascii="仿宋" w:hAnsi="仿宋" w:eastAsia="仿宋" w:cs="仿宋"/>
          <w:sz w:val="24"/>
          <w:szCs w:val="24"/>
          <w:highlight w:val="none"/>
          <w:lang w:val="en-US" w:eastAsia="zh-CN"/>
        </w:rPr>
        <w:t>海南洋浦陆海国际贸易有限公司</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6240" w:hanging="6240" w:hangingChars="26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法定代表人（委托代理人）：【     】</w:t>
      </w:r>
    </w:p>
    <w:p>
      <w:pPr>
        <w:pStyle w:val="4"/>
        <w:rPr>
          <w:rFonts w:hint="eastAsia"/>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6240" w:hanging="6240" w:hangingChars="26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乙方：【</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color w:val="auto"/>
          <w:sz w:val="24"/>
          <w:highlight w:val="none"/>
        </w:rPr>
      </w:pPr>
      <w:r>
        <w:rPr>
          <w:rFonts w:hint="eastAsia" w:ascii="仿宋" w:hAnsi="仿宋" w:eastAsia="仿宋" w:cs="仿宋"/>
          <w:sz w:val="24"/>
          <w:szCs w:val="24"/>
          <w:highlight w:val="none"/>
        </w:rPr>
        <w:t>法定代表人（委托代理人）：【     】</w:t>
      </w:r>
    </w:p>
    <w:p>
      <w:pPr>
        <w:pStyle w:val="8"/>
        <w:tabs>
          <w:tab w:val="left" w:pos="992"/>
        </w:tabs>
        <w:spacing w:line="360" w:lineRule="auto"/>
        <w:rPr>
          <w:rFonts w:hint="eastAsia" w:ascii="仿宋" w:hAnsi="仿宋" w:eastAsia="仿宋" w:cs="仿宋"/>
          <w:color w:val="000000"/>
          <w:sz w:val="24"/>
          <w:szCs w:val="24"/>
          <w:highlight w:val="none"/>
        </w:rPr>
      </w:pPr>
    </w:p>
    <w:p>
      <w:pPr>
        <w:pStyle w:val="8"/>
        <w:tabs>
          <w:tab w:val="left" w:pos="992"/>
        </w:tabs>
        <w:spacing w:line="360" w:lineRule="auto"/>
        <w:rPr>
          <w:rFonts w:hint="eastAsia" w:ascii="仿宋" w:hAnsi="仿宋" w:eastAsia="仿宋" w:cs="仿宋"/>
          <w:color w:val="000000"/>
          <w:sz w:val="24"/>
          <w:szCs w:val="24"/>
          <w:highlight w:val="none"/>
        </w:rPr>
      </w:pPr>
    </w:p>
    <w:p>
      <w:pPr>
        <w:pStyle w:val="4"/>
        <w:rPr>
          <w:rFonts w:hint="default"/>
          <w:highlight w:val="none"/>
          <w:lang w:val="en-US"/>
        </w:rPr>
      </w:pPr>
    </w:p>
    <w:sectPr>
      <w:pgSz w:w="11906" w:h="16838"/>
      <w:pgMar w:top="1440"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31E6C"/>
    <w:multiLevelType w:val="singleLevel"/>
    <w:tmpl w:val="A3B31E6C"/>
    <w:lvl w:ilvl="0" w:tentative="0">
      <w:start w:val="5"/>
      <w:numFmt w:val="chineseCounting"/>
      <w:suff w:val="nothing"/>
      <w:lvlText w:val="%1、"/>
      <w:lvlJc w:val="left"/>
      <w:rPr>
        <w:rFonts w:hint="eastAsia"/>
      </w:rPr>
    </w:lvl>
  </w:abstractNum>
  <w:abstractNum w:abstractNumId="1">
    <w:nsid w:val="300D30E1"/>
    <w:multiLevelType w:val="multilevel"/>
    <w:tmpl w:val="300D30E1"/>
    <w:lvl w:ilvl="0" w:tentative="0">
      <w:start w:val="1"/>
      <w:numFmt w:val="decimal"/>
      <w:lvlText w:val="%1"/>
      <w:lvlJc w:val="left"/>
      <w:pPr>
        <w:ind w:left="425" w:hanging="425"/>
      </w:pPr>
      <w:rPr>
        <w:rFonts w:hint="default"/>
        <w:sz w:val="24"/>
        <w:u w:val="none" w:color="auto"/>
      </w:rPr>
    </w:lvl>
    <w:lvl w:ilvl="1" w:tentative="0">
      <w:start w:val="1"/>
      <w:numFmt w:val="decimal"/>
      <w:lvlText w:val="%1.%2"/>
      <w:lvlJc w:val="left"/>
      <w:pPr>
        <w:ind w:left="635" w:hanging="425"/>
      </w:pPr>
      <w:rPr>
        <w:rFonts w:hint="eastAsia" w:ascii="Times New Roman" w:hAnsi="Times New Roman" w:eastAsia="Times New Roman" w:cs="Times New Roman"/>
        <w:sz w:val="24"/>
        <w:szCs w:val="24"/>
        <w:u w:val="none" w:color="auto"/>
      </w:rPr>
    </w:lvl>
    <w:lvl w:ilvl="2" w:tentative="0">
      <w:start w:val="1"/>
      <w:numFmt w:val="decimal"/>
      <w:lvlText w:val="%1.%2.%3"/>
      <w:lvlJc w:val="left"/>
      <w:pPr>
        <w:ind w:left="1275" w:hanging="425"/>
      </w:pPr>
      <w:rPr>
        <w:rFonts w:hint="default"/>
        <w:u w:val="none" w:color="auto"/>
      </w:rPr>
    </w:lvl>
    <w:lvl w:ilvl="3" w:tentative="0">
      <w:start w:val="1"/>
      <w:numFmt w:val="decimal"/>
      <w:lvlText w:val="%1.%2.%3.%4"/>
      <w:lvlJc w:val="left"/>
      <w:pPr>
        <w:ind w:left="1700" w:hanging="425"/>
      </w:pPr>
      <w:rPr>
        <w:rFonts w:hint="default"/>
        <w:u w:val="none" w:color="auto"/>
      </w:rPr>
    </w:lvl>
    <w:lvl w:ilvl="4" w:tentative="0">
      <w:start w:val="1"/>
      <w:numFmt w:val="decimal"/>
      <w:lvlText w:val="%1.%2.%3.%4.%5"/>
      <w:lvlJc w:val="left"/>
      <w:pPr>
        <w:ind w:left="2125" w:hanging="425"/>
      </w:pPr>
      <w:rPr>
        <w:rFonts w:hint="default"/>
        <w:u w:val="none" w:color="auto"/>
      </w:rPr>
    </w:lvl>
    <w:lvl w:ilvl="5" w:tentative="0">
      <w:start w:val="1"/>
      <w:numFmt w:val="decimal"/>
      <w:lvlText w:val="%1.%2.%3.%4.%5.%6"/>
      <w:lvlJc w:val="left"/>
      <w:pPr>
        <w:ind w:left="2550" w:hanging="425"/>
      </w:pPr>
      <w:rPr>
        <w:rFonts w:hint="default"/>
        <w:u w:val="none" w:color="auto"/>
      </w:rPr>
    </w:lvl>
    <w:lvl w:ilvl="6" w:tentative="0">
      <w:start w:val="1"/>
      <w:numFmt w:val="decimal"/>
      <w:lvlText w:val="%1.%2.%3.%4.%5.%6.%7"/>
      <w:lvlJc w:val="left"/>
      <w:pPr>
        <w:ind w:left="2975" w:hanging="425"/>
      </w:pPr>
      <w:rPr>
        <w:rFonts w:hint="default"/>
        <w:u w:val="none" w:color="auto"/>
      </w:rPr>
    </w:lvl>
    <w:lvl w:ilvl="7" w:tentative="0">
      <w:start w:val="1"/>
      <w:numFmt w:val="decimal"/>
      <w:lvlText w:val="%1.%2.%3.%4.%5.%6.%7.%8"/>
      <w:lvlJc w:val="left"/>
      <w:pPr>
        <w:ind w:left="3400" w:hanging="425"/>
      </w:pPr>
      <w:rPr>
        <w:rFonts w:hint="default"/>
        <w:u w:val="none" w:color="auto"/>
      </w:rPr>
    </w:lvl>
    <w:lvl w:ilvl="8" w:tentative="0">
      <w:start w:val="1"/>
      <w:numFmt w:val="decimal"/>
      <w:lvlText w:val="%1.%2.%3.%4.%5.%6.%7.%8.%9"/>
      <w:lvlJc w:val="left"/>
      <w:pPr>
        <w:ind w:left="3825" w:hanging="425"/>
      </w:pPr>
      <w:rPr>
        <w:rFonts w:hint="default"/>
        <w:u w:val="none" w:color="auto"/>
      </w:rPr>
    </w:lvl>
  </w:abstractNum>
  <w:abstractNum w:abstractNumId="2">
    <w:nsid w:val="41483988"/>
    <w:multiLevelType w:val="multilevel"/>
    <w:tmpl w:val="41483988"/>
    <w:lvl w:ilvl="0" w:tentative="0">
      <w:start w:val="1"/>
      <w:numFmt w:val="japaneseCounting"/>
      <w:lvlText w:val="第%1章"/>
      <w:lvlJc w:val="left"/>
      <w:pPr>
        <w:ind w:left="765" w:hanging="76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9B3944"/>
    <w:multiLevelType w:val="singleLevel"/>
    <w:tmpl w:val="7E9B3944"/>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NGVhNGQ0MzhiMjFiYjBhNmE5NTVkYWNkYmJmZmUifQ=="/>
  </w:docVars>
  <w:rsids>
    <w:rsidRoot w:val="00172A27"/>
    <w:rsid w:val="000322C8"/>
    <w:rsid w:val="000551DA"/>
    <w:rsid w:val="000A07BA"/>
    <w:rsid w:val="000C2EE7"/>
    <w:rsid w:val="00165A1D"/>
    <w:rsid w:val="00172A27"/>
    <w:rsid w:val="00256431"/>
    <w:rsid w:val="002D53C0"/>
    <w:rsid w:val="002E3CD7"/>
    <w:rsid w:val="00305FCC"/>
    <w:rsid w:val="004036CE"/>
    <w:rsid w:val="00445F3F"/>
    <w:rsid w:val="004F490E"/>
    <w:rsid w:val="00581D8A"/>
    <w:rsid w:val="005C3DEF"/>
    <w:rsid w:val="005E7B4D"/>
    <w:rsid w:val="00604E52"/>
    <w:rsid w:val="00612820"/>
    <w:rsid w:val="007434AE"/>
    <w:rsid w:val="00823B3B"/>
    <w:rsid w:val="008F0597"/>
    <w:rsid w:val="009579B0"/>
    <w:rsid w:val="00960906"/>
    <w:rsid w:val="00981CC8"/>
    <w:rsid w:val="00A5311F"/>
    <w:rsid w:val="00A741E6"/>
    <w:rsid w:val="00AE02D7"/>
    <w:rsid w:val="00B3767C"/>
    <w:rsid w:val="00B72181"/>
    <w:rsid w:val="00B76B04"/>
    <w:rsid w:val="00C55FAD"/>
    <w:rsid w:val="00C84769"/>
    <w:rsid w:val="00CE0085"/>
    <w:rsid w:val="00D14A8E"/>
    <w:rsid w:val="00D4048F"/>
    <w:rsid w:val="00ED7AB7"/>
    <w:rsid w:val="00F30767"/>
    <w:rsid w:val="00F43B19"/>
    <w:rsid w:val="00F97405"/>
    <w:rsid w:val="01007893"/>
    <w:rsid w:val="010E183C"/>
    <w:rsid w:val="01251EF0"/>
    <w:rsid w:val="01330404"/>
    <w:rsid w:val="0138621E"/>
    <w:rsid w:val="013B4C08"/>
    <w:rsid w:val="013D5BA6"/>
    <w:rsid w:val="015A60C5"/>
    <w:rsid w:val="016E6580"/>
    <w:rsid w:val="01792419"/>
    <w:rsid w:val="018F0B1E"/>
    <w:rsid w:val="01951DB9"/>
    <w:rsid w:val="01C039CE"/>
    <w:rsid w:val="01EE37A5"/>
    <w:rsid w:val="0208611B"/>
    <w:rsid w:val="023358A9"/>
    <w:rsid w:val="023615AF"/>
    <w:rsid w:val="024A4D97"/>
    <w:rsid w:val="024E01D2"/>
    <w:rsid w:val="02601A9E"/>
    <w:rsid w:val="02852330"/>
    <w:rsid w:val="028C773C"/>
    <w:rsid w:val="029810C9"/>
    <w:rsid w:val="029A3510"/>
    <w:rsid w:val="02AC3328"/>
    <w:rsid w:val="02B45D30"/>
    <w:rsid w:val="02B97306"/>
    <w:rsid w:val="02C62D99"/>
    <w:rsid w:val="02C649F6"/>
    <w:rsid w:val="02D264D3"/>
    <w:rsid w:val="02D62AD3"/>
    <w:rsid w:val="02E77606"/>
    <w:rsid w:val="02F900F0"/>
    <w:rsid w:val="030A27A5"/>
    <w:rsid w:val="030A5E0C"/>
    <w:rsid w:val="03173959"/>
    <w:rsid w:val="03215A31"/>
    <w:rsid w:val="035C1B9B"/>
    <w:rsid w:val="038C33CC"/>
    <w:rsid w:val="03AE3097"/>
    <w:rsid w:val="03D374CA"/>
    <w:rsid w:val="03D7388C"/>
    <w:rsid w:val="03DD306A"/>
    <w:rsid w:val="03E92771"/>
    <w:rsid w:val="04016E45"/>
    <w:rsid w:val="04512A9A"/>
    <w:rsid w:val="045F7637"/>
    <w:rsid w:val="04647342"/>
    <w:rsid w:val="047B2FED"/>
    <w:rsid w:val="04800691"/>
    <w:rsid w:val="04906F0D"/>
    <w:rsid w:val="049E03BF"/>
    <w:rsid w:val="04A73375"/>
    <w:rsid w:val="04B11640"/>
    <w:rsid w:val="04C82992"/>
    <w:rsid w:val="04CF3061"/>
    <w:rsid w:val="04D933C6"/>
    <w:rsid w:val="04E12363"/>
    <w:rsid w:val="04E8654F"/>
    <w:rsid w:val="050C42D8"/>
    <w:rsid w:val="050E3F58"/>
    <w:rsid w:val="051B6851"/>
    <w:rsid w:val="051C02E6"/>
    <w:rsid w:val="05317607"/>
    <w:rsid w:val="05373B8C"/>
    <w:rsid w:val="055E7A09"/>
    <w:rsid w:val="057766D7"/>
    <w:rsid w:val="05800CAE"/>
    <w:rsid w:val="05964237"/>
    <w:rsid w:val="05A07863"/>
    <w:rsid w:val="05BA56F5"/>
    <w:rsid w:val="05C00463"/>
    <w:rsid w:val="05CA70D4"/>
    <w:rsid w:val="05EF1B36"/>
    <w:rsid w:val="05F7537D"/>
    <w:rsid w:val="063D3E8F"/>
    <w:rsid w:val="063E4AA0"/>
    <w:rsid w:val="06456A8C"/>
    <w:rsid w:val="064F2365"/>
    <w:rsid w:val="066958C6"/>
    <w:rsid w:val="066B1C96"/>
    <w:rsid w:val="06B0129E"/>
    <w:rsid w:val="06B81D95"/>
    <w:rsid w:val="06D12E83"/>
    <w:rsid w:val="06EE69EC"/>
    <w:rsid w:val="06F82B7E"/>
    <w:rsid w:val="072D7608"/>
    <w:rsid w:val="073C2212"/>
    <w:rsid w:val="07571D11"/>
    <w:rsid w:val="07826A4B"/>
    <w:rsid w:val="07BF12C2"/>
    <w:rsid w:val="07C6738E"/>
    <w:rsid w:val="07E74A05"/>
    <w:rsid w:val="082D7285"/>
    <w:rsid w:val="08626C5A"/>
    <w:rsid w:val="087D7EB4"/>
    <w:rsid w:val="088038FF"/>
    <w:rsid w:val="08852E3A"/>
    <w:rsid w:val="08B140CE"/>
    <w:rsid w:val="08BC212A"/>
    <w:rsid w:val="08C3763E"/>
    <w:rsid w:val="08C506E5"/>
    <w:rsid w:val="08C52D6F"/>
    <w:rsid w:val="08D95C27"/>
    <w:rsid w:val="08E46EA7"/>
    <w:rsid w:val="08F700C6"/>
    <w:rsid w:val="090B6406"/>
    <w:rsid w:val="09153429"/>
    <w:rsid w:val="0915706F"/>
    <w:rsid w:val="091932F8"/>
    <w:rsid w:val="092578F3"/>
    <w:rsid w:val="092A77E7"/>
    <w:rsid w:val="0942111F"/>
    <w:rsid w:val="09573735"/>
    <w:rsid w:val="096950FC"/>
    <w:rsid w:val="09837CAA"/>
    <w:rsid w:val="09860C2E"/>
    <w:rsid w:val="09A058FC"/>
    <w:rsid w:val="09A84666"/>
    <w:rsid w:val="09C0007E"/>
    <w:rsid w:val="09C25EC2"/>
    <w:rsid w:val="0A174378"/>
    <w:rsid w:val="0A201A63"/>
    <w:rsid w:val="0A3A19D7"/>
    <w:rsid w:val="0A484CEC"/>
    <w:rsid w:val="0A5E145B"/>
    <w:rsid w:val="0A64281B"/>
    <w:rsid w:val="0A840B51"/>
    <w:rsid w:val="0A8B04DC"/>
    <w:rsid w:val="0A9F717D"/>
    <w:rsid w:val="0AA9161C"/>
    <w:rsid w:val="0AB01615"/>
    <w:rsid w:val="0AEF46AA"/>
    <w:rsid w:val="0AF97291"/>
    <w:rsid w:val="0B0902B5"/>
    <w:rsid w:val="0B0B67DD"/>
    <w:rsid w:val="0B1178E2"/>
    <w:rsid w:val="0B166BED"/>
    <w:rsid w:val="0B2B090C"/>
    <w:rsid w:val="0B39324F"/>
    <w:rsid w:val="0B3E1A17"/>
    <w:rsid w:val="0B5843AD"/>
    <w:rsid w:val="0B7B7DE4"/>
    <w:rsid w:val="0B875DF5"/>
    <w:rsid w:val="0B8C3357"/>
    <w:rsid w:val="0BCC0869"/>
    <w:rsid w:val="0BFF0784"/>
    <w:rsid w:val="0C177C63"/>
    <w:rsid w:val="0C6D1CF5"/>
    <w:rsid w:val="0C8353F1"/>
    <w:rsid w:val="0C885FA2"/>
    <w:rsid w:val="0CA47578"/>
    <w:rsid w:val="0CBF4BF8"/>
    <w:rsid w:val="0D095E08"/>
    <w:rsid w:val="0D170060"/>
    <w:rsid w:val="0D240477"/>
    <w:rsid w:val="0D3D4B21"/>
    <w:rsid w:val="0D3E1166"/>
    <w:rsid w:val="0D500C64"/>
    <w:rsid w:val="0D583AF2"/>
    <w:rsid w:val="0D587A08"/>
    <w:rsid w:val="0D5B2DEF"/>
    <w:rsid w:val="0D5E7BE0"/>
    <w:rsid w:val="0D7C4DD5"/>
    <w:rsid w:val="0D7E3D32"/>
    <w:rsid w:val="0D80557A"/>
    <w:rsid w:val="0D9D79B0"/>
    <w:rsid w:val="0DA22DAC"/>
    <w:rsid w:val="0DBA2892"/>
    <w:rsid w:val="0DD359BA"/>
    <w:rsid w:val="0DF74DCF"/>
    <w:rsid w:val="0DF8260B"/>
    <w:rsid w:val="0DF96D54"/>
    <w:rsid w:val="0E160A26"/>
    <w:rsid w:val="0E536302"/>
    <w:rsid w:val="0E7041BA"/>
    <w:rsid w:val="0E716CB9"/>
    <w:rsid w:val="0E7A4ECE"/>
    <w:rsid w:val="0E7B0752"/>
    <w:rsid w:val="0E7C61D3"/>
    <w:rsid w:val="0E876762"/>
    <w:rsid w:val="0E8D3EEF"/>
    <w:rsid w:val="0E983E63"/>
    <w:rsid w:val="0EAC1495"/>
    <w:rsid w:val="0EB42572"/>
    <w:rsid w:val="0EB7249A"/>
    <w:rsid w:val="0EBF433E"/>
    <w:rsid w:val="0EC07277"/>
    <w:rsid w:val="0EF330E4"/>
    <w:rsid w:val="0F126346"/>
    <w:rsid w:val="0F1966EA"/>
    <w:rsid w:val="0F262DE9"/>
    <w:rsid w:val="0F507B85"/>
    <w:rsid w:val="0F542633"/>
    <w:rsid w:val="0F5B66DF"/>
    <w:rsid w:val="0F8356F3"/>
    <w:rsid w:val="0F8D784A"/>
    <w:rsid w:val="0FA35C35"/>
    <w:rsid w:val="0FD50F57"/>
    <w:rsid w:val="0FD53E86"/>
    <w:rsid w:val="0FE51F22"/>
    <w:rsid w:val="0FF629CC"/>
    <w:rsid w:val="100D326B"/>
    <w:rsid w:val="10104B71"/>
    <w:rsid w:val="101D2E10"/>
    <w:rsid w:val="10211D87"/>
    <w:rsid w:val="10311FCB"/>
    <w:rsid w:val="103764A9"/>
    <w:rsid w:val="10407146"/>
    <w:rsid w:val="105024E7"/>
    <w:rsid w:val="105534DB"/>
    <w:rsid w:val="107F2121"/>
    <w:rsid w:val="10802972"/>
    <w:rsid w:val="10805FA1"/>
    <w:rsid w:val="10861AAB"/>
    <w:rsid w:val="109158BE"/>
    <w:rsid w:val="10950A41"/>
    <w:rsid w:val="10A50B70"/>
    <w:rsid w:val="10AC5865"/>
    <w:rsid w:val="10AE3B69"/>
    <w:rsid w:val="10AF15EB"/>
    <w:rsid w:val="10B45A32"/>
    <w:rsid w:val="10BD5581"/>
    <w:rsid w:val="10C478D1"/>
    <w:rsid w:val="10C932F0"/>
    <w:rsid w:val="10D91E0A"/>
    <w:rsid w:val="10E80C92"/>
    <w:rsid w:val="11105771"/>
    <w:rsid w:val="111E5122"/>
    <w:rsid w:val="112315AA"/>
    <w:rsid w:val="11236961"/>
    <w:rsid w:val="112D573C"/>
    <w:rsid w:val="112E2B27"/>
    <w:rsid w:val="11352AC3"/>
    <w:rsid w:val="114C5FF1"/>
    <w:rsid w:val="115241D9"/>
    <w:rsid w:val="115E178F"/>
    <w:rsid w:val="11670D99"/>
    <w:rsid w:val="117D2F3D"/>
    <w:rsid w:val="11850FF5"/>
    <w:rsid w:val="1198722D"/>
    <w:rsid w:val="11A852B4"/>
    <w:rsid w:val="11B33417"/>
    <w:rsid w:val="11B67C1F"/>
    <w:rsid w:val="11C54E00"/>
    <w:rsid w:val="11CA6E7F"/>
    <w:rsid w:val="11CB5437"/>
    <w:rsid w:val="11DB06B8"/>
    <w:rsid w:val="11F01D76"/>
    <w:rsid w:val="11F92440"/>
    <w:rsid w:val="12111232"/>
    <w:rsid w:val="122F07E2"/>
    <w:rsid w:val="1239330E"/>
    <w:rsid w:val="12697AD8"/>
    <w:rsid w:val="12974DAB"/>
    <w:rsid w:val="12AB39AF"/>
    <w:rsid w:val="12CF6944"/>
    <w:rsid w:val="12D31474"/>
    <w:rsid w:val="12F266AE"/>
    <w:rsid w:val="12FE713F"/>
    <w:rsid w:val="130377D4"/>
    <w:rsid w:val="13191A65"/>
    <w:rsid w:val="1322619E"/>
    <w:rsid w:val="133B4F6A"/>
    <w:rsid w:val="13435E6F"/>
    <w:rsid w:val="134923CA"/>
    <w:rsid w:val="13581549"/>
    <w:rsid w:val="13795301"/>
    <w:rsid w:val="13B103E8"/>
    <w:rsid w:val="13B43E61"/>
    <w:rsid w:val="13BB7800"/>
    <w:rsid w:val="13DF1642"/>
    <w:rsid w:val="13E65C0E"/>
    <w:rsid w:val="13FC2057"/>
    <w:rsid w:val="14191607"/>
    <w:rsid w:val="141B0D1A"/>
    <w:rsid w:val="141E3E26"/>
    <w:rsid w:val="1425541A"/>
    <w:rsid w:val="14517563"/>
    <w:rsid w:val="145233B5"/>
    <w:rsid w:val="14891FF9"/>
    <w:rsid w:val="148D4E3D"/>
    <w:rsid w:val="14BA590D"/>
    <w:rsid w:val="14BC4694"/>
    <w:rsid w:val="14E91932"/>
    <w:rsid w:val="14EB7761"/>
    <w:rsid w:val="151D3A6A"/>
    <w:rsid w:val="15433673"/>
    <w:rsid w:val="154D06FF"/>
    <w:rsid w:val="15531FB2"/>
    <w:rsid w:val="155A361E"/>
    <w:rsid w:val="15863D5C"/>
    <w:rsid w:val="159E0778"/>
    <w:rsid w:val="15AC5D13"/>
    <w:rsid w:val="15C1530C"/>
    <w:rsid w:val="15C26140"/>
    <w:rsid w:val="15C53CF1"/>
    <w:rsid w:val="15CC12F5"/>
    <w:rsid w:val="15CD44D1"/>
    <w:rsid w:val="15F1340C"/>
    <w:rsid w:val="15FD2C8D"/>
    <w:rsid w:val="162D7C18"/>
    <w:rsid w:val="16412AB3"/>
    <w:rsid w:val="164416AF"/>
    <w:rsid w:val="1651252C"/>
    <w:rsid w:val="16585B38"/>
    <w:rsid w:val="165A5DFB"/>
    <w:rsid w:val="165C08BD"/>
    <w:rsid w:val="16614A83"/>
    <w:rsid w:val="167A36F0"/>
    <w:rsid w:val="167C182F"/>
    <w:rsid w:val="1680307B"/>
    <w:rsid w:val="168A721F"/>
    <w:rsid w:val="168C6E8D"/>
    <w:rsid w:val="16984600"/>
    <w:rsid w:val="16AE40A0"/>
    <w:rsid w:val="16C873EC"/>
    <w:rsid w:val="16EF24B1"/>
    <w:rsid w:val="16F127B2"/>
    <w:rsid w:val="16F8590B"/>
    <w:rsid w:val="16FB645D"/>
    <w:rsid w:val="1703454E"/>
    <w:rsid w:val="171112E5"/>
    <w:rsid w:val="17192051"/>
    <w:rsid w:val="17213AFE"/>
    <w:rsid w:val="1724738B"/>
    <w:rsid w:val="17460232"/>
    <w:rsid w:val="175E3962"/>
    <w:rsid w:val="176A7CB6"/>
    <w:rsid w:val="17882F0B"/>
    <w:rsid w:val="17922031"/>
    <w:rsid w:val="17944621"/>
    <w:rsid w:val="179E18E9"/>
    <w:rsid w:val="17AF62A0"/>
    <w:rsid w:val="17B83255"/>
    <w:rsid w:val="17BE07CA"/>
    <w:rsid w:val="17D54619"/>
    <w:rsid w:val="17DE2FB7"/>
    <w:rsid w:val="17DE4D47"/>
    <w:rsid w:val="17EB1C10"/>
    <w:rsid w:val="18136FA0"/>
    <w:rsid w:val="18143491"/>
    <w:rsid w:val="181D6EA6"/>
    <w:rsid w:val="18492EF0"/>
    <w:rsid w:val="185254F4"/>
    <w:rsid w:val="185C5F13"/>
    <w:rsid w:val="185E6D88"/>
    <w:rsid w:val="18740F2C"/>
    <w:rsid w:val="187939A8"/>
    <w:rsid w:val="187E50BF"/>
    <w:rsid w:val="188B0B51"/>
    <w:rsid w:val="18A2459B"/>
    <w:rsid w:val="18C36111"/>
    <w:rsid w:val="18DE2ED2"/>
    <w:rsid w:val="18E06F8D"/>
    <w:rsid w:val="18E21560"/>
    <w:rsid w:val="18EB5025"/>
    <w:rsid w:val="190742CD"/>
    <w:rsid w:val="190D36A9"/>
    <w:rsid w:val="19304DCF"/>
    <w:rsid w:val="19442175"/>
    <w:rsid w:val="194476BE"/>
    <w:rsid w:val="196F44CB"/>
    <w:rsid w:val="19723BF7"/>
    <w:rsid w:val="197A134F"/>
    <w:rsid w:val="197E4D27"/>
    <w:rsid w:val="198E78C5"/>
    <w:rsid w:val="19A857BB"/>
    <w:rsid w:val="19BA37C2"/>
    <w:rsid w:val="19DC2ECA"/>
    <w:rsid w:val="19E35721"/>
    <w:rsid w:val="19ED6C41"/>
    <w:rsid w:val="19FE7107"/>
    <w:rsid w:val="1A1C1CE5"/>
    <w:rsid w:val="1A234EFA"/>
    <w:rsid w:val="1A4E5D2F"/>
    <w:rsid w:val="1A7D0090"/>
    <w:rsid w:val="1A7D3DC7"/>
    <w:rsid w:val="1A823FAE"/>
    <w:rsid w:val="1A925CFB"/>
    <w:rsid w:val="1AB319BE"/>
    <w:rsid w:val="1AD4393F"/>
    <w:rsid w:val="1AD77563"/>
    <w:rsid w:val="1AE509FF"/>
    <w:rsid w:val="1AE54FD5"/>
    <w:rsid w:val="1AEC06BC"/>
    <w:rsid w:val="1AF26D42"/>
    <w:rsid w:val="1B2003AC"/>
    <w:rsid w:val="1B2F613A"/>
    <w:rsid w:val="1B2F6BA7"/>
    <w:rsid w:val="1B853D32"/>
    <w:rsid w:val="1B8835E4"/>
    <w:rsid w:val="1BB474E9"/>
    <w:rsid w:val="1BC50BBF"/>
    <w:rsid w:val="1BDE1C65"/>
    <w:rsid w:val="1BEC49DB"/>
    <w:rsid w:val="1BEE0B84"/>
    <w:rsid w:val="1BFC7520"/>
    <w:rsid w:val="1C0B2F27"/>
    <w:rsid w:val="1C1147C7"/>
    <w:rsid w:val="1C4231EC"/>
    <w:rsid w:val="1C43753B"/>
    <w:rsid w:val="1C4E11FC"/>
    <w:rsid w:val="1C56219C"/>
    <w:rsid w:val="1C7B464A"/>
    <w:rsid w:val="1C87045D"/>
    <w:rsid w:val="1C8D7DE8"/>
    <w:rsid w:val="1C947772"/>
    <w:rsid w:val="1CA04BF9"/>
    <w:rsid w:val="1CA114E3"/>
    <w:rsid w:val="1CA218C3"/>
    <w:rsid w:val="1CC94244"/>
    <w:rsid w:val="1CF45E21"/>
    <w:rsid w:val="1D0E0F41"/>
    <w:rsid w:val="1D0F0C74"/>
    <w:rsid w:val="1D1D63D2"/>
    <w:rsid w:val="1D3E218A"/>
    <w:rsid w:val="1D42444B"/>
    <w:rsid w:val="1D497EE6"/>
    <w:rsid w:val="1D4B0FD4"/>
    <w:rsid w:val="1D510BDB"/>
    <w:rsid w:val="1D551DAF"/>
    <w:rsid w:val="1D5B3CB8"/>
    <w:rsid w:val="1D8C3CD3"/>
    <w:rsid w:val="1DA1569E"/>
    <w:rsid w:val="1DBE5F86"/>
    <w:rsid w:val="1DD57D7F"/>
    <w:rsid w:val="1E0A51EF"/>
    <w:rsid w:val="1E48458C"/>
    <w:rsid w:val="1E552FF2"/>
    <w:rsid w:val="1E5A3B65"/>
    <w:rsid w:val="1E5D4FF0"/>
    <w:rsid w:val="1E6C14AB"/>
    <w:rsid w:val="1E9F5C7C"/>
    <w:rsid w:val="1E9F669B"/>
    <w:rsid w:val="1EA254C4"/>
    <w:rsid w:val="1EDC0931"/>
    <w:rsid w:val="1EF06925"/>
    <w:rsid w:val="1EF85EBB"/>
    <w:rsid w:val="1F2A5C8F"/>
    <w:rsid w:val="1F647CCA"/>
    <w:rsid w:val="1F6E7EA0"/>
    <w:rsid w:val="1F7521C4"/>
    <w:rsid w:val="1F873CBF"/>
    <w:rsid w:val="1FA173F5"/>
    <w:rsid w:val="1FA94802"/>
    <w:rsid w:val="1FC67503"/>
    <w:rsid w:val="1FEF1512"/>
    <w:rsid w:val="1FF33877"/>
    <w:rsid w:val="1FF74072"/>
    <w:rsid w:val="200828C6"/>
    <w:rsid w:val="20085B73"/>
    <w:rsid w:val="200D0CA3"/>
    <w:rsid w:val="2029556A"/>
    <w:rsid w:val="2034063B"/>
    <w:rsid w:val="2036713F"/>
    <w:rsid w:val="203C17F2"/>
    <w:rsid w:val="206105A6"/>
    <w:rsid w:val="206D1166"/>
    <w:rsid w:val="207F3560"/>
    <w:rsid w:val="20806BFB"/>
    <w:rsid w:val="20922904"/>
    <w:rsid w:val="209C15AC"/>
    <w:rsid w:val="20A377C7"/>
    <w:rsid w:val="20A90F70"/>
    <w:rsid w:val="20D00624"/>
    <w:rsid w:val="20F64A35"/>
    <w:rsid w:val="20FA3CE2"/>
    <w:rsid w:val="210D1A49"/>
    <w:rsid w:val="211C305E"/>
    <w:rsid w:val="21611CCB"/>
    <w:rsid w:val="21BB5E33"/>
    <w:rsid w:val="21C24E71"/>
    <w:rsid w:val="21D032ED"/>
    <w:rsid w:val="21D21888"/>
    <w:rsid w:val="21DE7CEF"/>
    <w:rsid w:val="21E70C31"/>
    <w:rsid w:val="21E75FAA"/>
    <w:rsid w:val="21EB0FE8"/>
    <w:rsid w:val="21F471EA"/>
    <w:rsid w:val="21F81B93"/>
    <w:rsid w:val="21FD636C"/>
    <w:rsid w:val="22177DFE"/>
    <w:rsid w:val="22214E8B"/>
    <w:rsid w:val="225F2771"/>
    <w:rsid w:val="226A4C31"/>
    <w:rsid w:val="227F0AA8"/>
    <w:rsid w:val="22811E51"/>
    <w:rsid w:val="228C7DBD"/>
    <w:rsid w:val="229E1AD7"/>
    <w:rsid w:val="22B51B4C"/>
    <w:rsid w:val="22E753A0"/>
    <w:rsid w:val="23026758"/>
    <w:rsid w:val="23156A1D"/>
    <w:rsid w:val="2316669C"/>
    <w:rsid w:val="231B3959"/>
    <w:rsid w:val="231C32C2"/>
    <w:rsid w:val="23372454"/>
    <w:rsid w:val="237770F1"/>
    <w:rsid w:val="2379093F"/>
    <w:rsid w:val="237D5522"/>
    <w:rsid w:val="237E49F2"/>
    <w:rsid w:val="237F088B"/>
    <w:rsid w:val="239D2E24"/>
    <w:rsid w:val="239E0EFF"/>
    <w:rsid w:val="23B25C43"/>
    <w:rsid w:val="23BC668F"/>
    <w:rsid w:val="23CD03C9"/>
    <w:rsid w:val="23D0134E"/>
    <w:rsid w:val="23D14BD1"/>
    <w:rsid w:val="23D45A1D"/>
    <w:rsid w:val="23DC20B6"/>
    <w:rsid w:val="23DC5161"/>
    <w:rsid w:val="23E06F49"/>
    <w:rsid w:val="24160D4E"/>
    <w:rsid w:val="24217E53"/>
    <w:rsid w:val="243079AF"/>
    <w:rsid w:val="24364576"/>
    <w:rsid w:val="24470093"/>
    <w:rsid w:val="244A129E"/>
    <w:rsid w:val="244E01E1"/>
    <w:rsid w:val="24523F05"/>
    <w:rsid w:val="246A4D03"/>
    <w:rsid w:val="247544B9"/>
    <w:rsid w:val="247D4CEA"/>
    <w:rsid w:val="24CB43A2"/>
    <w:rsid w:val="24D136EA"/>
    <w:rsid w:val="250C526B"/>
    <w:rsid w:val="252044A2"/>
    <w:rsid w:val="25255746"/>
    <w:rsid w:val="25431230"/>
    <w:rsid w:val="256453DD"/>
    <w:rsid w:val="25654636"/>
    <w:rsid w:val="2569146F"/>
    <w:rsid w:val="25783AE7"/>
    <w:rsid w:val="257F2E03"/>
    <w:rsid w:val="25AD75BF"/>
    <w:rsid w:val="25B40CB1"/>
    <w:rsid w:val="25B87051"/>
    <w:rsid w:val="25C6042C"/>
    <w:rsid w:val="25C82C6A"/>
    <w:rsid w:val="25D36BA2"/>
    <w:rsid w:val="25DC0129"/>
    <w:rsid w:val="25E85CD9"/>
    <w:rsid w:val="25F979C0"/>
    <w:rsid w:val="26060D4A"/>
    <w:rsid w:val="26154E19"/>
    <w:rsid w:val="26171CD0"/>
    <w:rsid w:val="261A5A10"/>
    <w:rsid w:val="26251F40"/>
    <w:rsid w:val="26324721"/>
    <w:rsid w:val="26377520"/>
    <w:rsid w:val="26514CEC"/>
    <w:rsid w:val="26517A13"/>
    <w:rsid w:val="26583602"/>
    <w:rsid w:val="26627AEB"/>
    <w:rsid w:val="267473A3"/>
    <w:rsid w:val="267D7CB3"/>
    <w:rsid w:val="26D07ABD"/>
    <w:rsid w:val="26EF2570"/>
    <w:rsid w:val="26F65840"/>
    <w:rsid w:val="27207AFE"/>
    <w:rsid w:val="27487441"/>
    <w:rsid w:val="276369CB"/>
    <w:rsid w:val="27676541"/>
    <w:rsid w:val="276A6D97"/>
    <w:rsid w:val="276F6341"/>
    <w:rsid w:val="27801B28"/>
    <w:rsid w:val="279544FE"/>
    <w:rsid w:val="2796273C"/>
    <w:rsid w:val="27BC6441"/>
    <w:rsid w:val="27E2757A"/>
    <w:rsid w:val="27FE5562"/>
    <w:rsid w:val="28077D25"/>
    <w:rsid w:val="28131E3F"/>
    <w:rsid w:val="2826006E"/>
    <w:rsid w:val="28387423"/>
    <w:rsid w:val="28462B22"/>
    <w:rsid w:val="284D5F37"/>
    <w:rsid w:val="28995E80"/>
    <w:rsid w:val="28A30F77"/>
    <w:rsid w:val="28A50C64"/>
    <w:rsid w:val="28E02D20"/>
    <w:rsid w:val="28F7549E"/>
    <w:rsid w:val="290563D8"/>
    <w:rsid w:val="29144C96"/>
    <w:rsid w:val="29203333"/>
    <w:rsid w:val="2921752B"/>
    <w:rsid w:val="293811B0"/>
    <w:rsid w:val="295A5561"/>
    <w:rsid w:val="295B2CB4"/>
    <w:rsid w:val="296807F2"/>
    <w:rsid w:val="29937334"/>
    <w:rsid w:val="29956C0B"/>
    <w:rsid w:val="29A739E3"/>
    <w:rsid w:val="29D76730"/>
    <w:rsid w:val="29D97869"/>
    <w:rsid w:val="2A193F65"/>
    <w:rsid w:val="2A567C96"/>
    <w:rsid w:val="2A5C3505"/>
    <w:rsid w:val="2A8320CC"/>
    <w:rsid w:val="2A9867EE"/>
    <w:rsid w:val="2AA6741A"/>
    <w:rsid w:val="2B1B6DC7"/>
    <w:rsid w:val="2B251E53"/>
    <w:rsid w:val="2B4D78BA"/>
    <w:rsid w:val="2BB172BB"/>
    <w:rsid w:val="2BBC513B"/>
    <w:rsid w:val="2BCD376E"/>
    <w:rsid w:val="2C006140"/>
    <w:rsid w:val="2C062CB6"/>
    <w:rsid w:val="2C096CB7"/>
    <w:rsid w:val="2C0A0C4E"/>
    <w:rsid w:val="2C0B282E"/>
    <w:rsid w:val="2C1650BD"/>
    <w:rsid w:val="2C1959E5"/>
    <w:rsid w:val="2C4B77C7"/>
    <w:rsid w:val="2C5867CF"/>
    <w:rsid w:val="2C63351D"/>
    <w:rsid w:val="2C6F1903"/>
    <w:rsid w:val="2C7C7C88"/>
    <w:rsid w:val="2C800533"/>
    <w:rsid w:val="2C824B7E"/>
    <w:rsid w:val="2C8361C5"/>
    <w:rsid w:val="2C863E1B"/>
    <w:rsid w:val="2C892721"/>
    <w:rsid w:val="2C9C273B"/>
    <w:rsid w:val="2CCC6172"/>
    <w:rsid w:val="2CD803A2"/>
    <w:rsid w:val="2CDE3DCB"/>
    <w:rsid w:val="2CDF1F2B"/>
    <w:rsid w:val="2CE82406"/>
    <w:rsid w:val="2CF3181E"/>
    <w:rsid w:val="2CF6517F"/>
    <w:rsid w:val="2D0E7CC8"/>
    <w:rsid w:val="2D24365F"/>
    <w:rsid w:val="2D3E4627"/>
    <w:rsid w:val="2D5001D5"/>
    <w:rsid w:val="2D5531EF"/>
    <w:rsid w:val="2D7515E3"/>
    <w:rsid w:val="2D843CE4"/>
    <w:rsid w:val="2DA515AB"/>
    <w:rsid w:val="2DAA22A3"/>
    <w:rsid w:val="2DAC1C0D"/>
    <w:rsid w:val="2DCC1298"/>
    <w:rsid w:val="2DD105BA"/>
    <w:rsid w:val="2DDB0EAA"/>
    <w:rsid w:val="2DDC0B49"/>
    <w:rsid w:val="2DDD4A49"/>
    <w:rsid w:val="2E0F1B63"/>
    <w:rsid w:val="2E1135A2"/>
    <w:rsid w:val="2E142328"/>
    <w:rsid w:val="2E1C2A3A"/>
    <w:rsid w:val="2E21163E"/>
    <w:rsid w:val="2E2A5F9E"/>
    <w:rsid w:val="2E81295C"/>
    <w:rsid w:val="2E855ADF"/>
    <w:rsid w:val="2E90145A"/>
    <w:rsid w:val="2E9B555A"/>
    <w:rsid w:val="2EA15034"/>
    <w:rsid w:val="2EC47C6B"/>
    <w:rsid w:val="2EE161F9"/>
    <w:rsid w:val="2EEE550E"/>
    <w:rsid w:val="2EFA1321"/>
    <w:rsid w:val="2F0C123B"/>
    <w:rsid w:val="2F104EF5"/>
    <w:rsid w:val="2F241D9C"/>
    <w:rsid w:val="2F666452"/>
    <w:rsid w:val="2F800A22"/>
    <w:rsid w:val="2FBC6A58"/>
    <w:rsid w:val="2FC751F2"/>
    <w:rsid w:val="2FD101DF"/>
    <w:rsid w:val="2FDB50AB"/>
    <w:rsid w:val="300A1D96"/>
    <w:rsid w:val="30111385"/>
    <w:rsid w:val="301663F8"/>
    <w:rsid w:val="3027200C"/>
    <w:rsid w:val="30520144"/>
    <w:rsid w:val="30677C1C"/>
    <w:rsid w:val="30797214"/>
    <w:rsid w:val="307B5F9A"/>
    <w:rsid w:val="30906E39"/>
    <w:rsid w:val="309F007B"/>
    <w:rsid w:val="30A80A26"/>
    <w:rsid w:val="30B152B8"/>
    <w:rsid w:val="30E25866"/>
    <w:rsid w:val="30F23719"/>
    <w:rsid w:val="30F578FE"/>
    <w:rsid w:val="30FC21C9"/>
    <w:rsid w:val="310A313C"/>
    <w:rsid w:val="310D4A9A"/>
    <w:rsid w:val="3114202C"/>
    <w:rsid w:val="311623C2"/>
    <w:rsid w:val="31184E64"/>
    <w:rsid w:val="31310D4C"/>
    <w:rsid w:val="31414A5E"/>
    <w:rsid w:val="3146420E"/>
    <w:rsid w:val="314D2FF9"/>
    <w:rsid w:val="31653999"/>
    <w:rsid w:val="316B25F0"/>
    <w:rsid w:val="316E4972"/>
    <w:rsid w:val="3172742B"/>
    <w:rsid w:val="318375C6"/>
    <w:rsid w:val="318C5DE1"/>
    <w:rsid w:val="31B217A1"/>
    <w:rsid w:val="31DB2ECD"/>
    <w:rsid w:val="31E831E8"/>
    <w:rsid w:val="321336D2"/>
    <w:rsid w:val="321D7C9D"/>
    <w:rsid w:val="322936D7"/>
    <w:rsid w:val="32320BDC"/>
    <w:rsid w:val="3235285C"/>
    <w:rsid w:val="323C48F6"/>
    <w:rsid w:val="324F0BF0"/>
    <w:rsid w:val="324F14D9"/>
    <w:rsid w:val="324F7611"/>
    <w:rsid w:val="327970B9"/>
    <w:rsid w:val="32A73FA5"/>
    <w:rsid w:val="32C42CAC"/>
    <w:rsid w:val="32D25548"/>
    <w:rsid w:val="32E06A79"/>
    <w:rsid w:val="32F02819"/>
    <w:rsid w:val="32F9052C"/>
    <w:rsid w:val="32FB3E09"/>
    <w:rsid w:val="33121AA1"/>
    <w:rsid w:val="3317335F"/>
    <w:rsid w:val="331A4072"/>
    <w:rsid w:val="3332073B"/>
    <w:rsid w:val="333F77DD"/>
    <w:rsid w:val="33650EE0"/>
    <w:rsid w:val="33814278"/>
    <w:rsid w:val="339B3719"/>
    <w:rsid w:val="33A80747"/>
    <w:rsid w:val="33D1020F"/>
    <w:rsid w:val="33E20B10"/>
    <w:rsid w:val="34025FA8"/>
    <w:rsid w:val="34045845"/>
    <w:rsid w:val="340B74B9"/>
    <w:rsid w:val="34172F02"/>
    <w:rsid w:val="34196405"/>
    <w:rsid w:val="341B4980"/>
    <w:rsid w:val="341C2C0D"/>
    <w:rsid w:val="342938CC"/>
    <w:rsid w:val="342D4A3B"/>
    <w:rsid w:val="3430428F"/>
    <w:rsid w:val="34332832"/>
    <w:rsid w:val="34413D46"/>
    <w:rsid w:val="34486F54"/>
    <w:rsid w:val="346339D3"/>
    <w:rsid w:val="347F4925"/>
    <w:rsid w:val="34A53B7D"/>
    <w:rsid w:val="34A7725C"/>
    <w:rsid w:val="34A83610"/>
    <w:rsid w:val="34CA6229"/>
    <w:rsid w:val="34D1759B"/>
    <w:rsid w:val="34DF294B"/>
    <w:rsid w:val="34F47564"/>
    <w:rsid w:val="34F66634"/>
    <w:rsid w:val="34FD1A96"/>
    <w:rsid w:val="350A555B"/>
    <w:rsid w:val="350F1170"/>
    <w:rsid w:val="35131DE4"/>
    <w:rsid w:val="35254F3A"/>
    <w:rsid w:val="352759D1"/>
    <w:rsid w:val="3532359C"/>
    <w:rsid w:val="35354668"/>
    <w:rsid w:val="353A6050"/>
    <w:rsid w:val="354040E2"/>
    <w:rsid w:val="355C3599"/>
    <w:rsid w:val="356928AF"/>
    <w:rsid w:val="357C78DE"/>
    <w:rsid w:val="35800436"/>
    <w:rsid w:val="358579DE"/>
    <w:rsid w:val="359336F3"/>
    <w:rsid w:val="35A81A21"/>
    <w:rsid w:val="35B61A9B"/>
    <w:rsid w:val="35B91D36"/>
    <w:rsid w:val="35BF1FB9"/>
    <w:rsid w:val="35DF4003"/>
    <w:rsid w:val="35E574C0"/>
    <w:rsid w:val="361B5B4E"/>
    <w:rsid w:val="361D3657"/>
    <w:rsid w:val="36233F9D"/>
    <w:rsid w:val="362F7DB5"/>
    <w:rsid w:val="364C3796"/>
    <w:rsid w:val="364D066D"/>
    <w:rsid w:val="36772774"/>
    <w:rsid w:val="368215FE"/>
    <w:rsid w:val="36B25143"/>
    <w:rsid w:val="36CF347B"/>
    <w:rsid w:val="371A59E1"/>
    <w:rsid w:val="377F12BF"/>
    <w:rsid w:val="37816F94"/>
    <w:rsid w:val="37A01A64"/>
    <w:rsid w:val="37BA4F22"/>
    <w:rsid w:val="37DE0711"/>
    <w:rsid w:val="37E03E2C"/>
    <w:rsid w:val="37F00424"/>
    <w:rsid w:val="3806295D"/>
    <w:rsid w:val="380E0584"/>
    <w:rsid w:val="3812280E"/>
    <w:rsid w:val="381B7B44"/>
    <w:rsid w:val="38391966"/>
    <w:rsid w:val="383A48CB"/>
    <w:rsid w:val="383B152D"/>
    <w:rsid w:val="385333AC"/>
    <w:rsid w:val="38A464F9"/>
    <w:rsid w:val="38AC3066"/>
    <w:rsid w:val="38AC436C"/>
    <w:rsid w:val="38BF0F3E"/>
    <w:rsid w:val="38C95ED9"/>
    <w:rsid w:val="38CA300C"/>
    <w:rsid w:val="38D06594"/>
    <w:rsid w:val="38E060F1"/>
    <w:rsid w:val="38FC7121"/>
    <w:rsid w:val="39003390"/>
    <w:rsid w:val="39010974"/>
    <w:rsid w:val="3907079C"/>
    <w:rsid w:val="39310FA1"/>
    <w:rsid w:val="393F7622"/>
    <w:rsid w:val="39610D3F"/>
    <w:rsid w:val="396A7C09"/>
    <w:rsid w:val="39740471"/>
    <w:rsid w:val="39742AB8"/>
    <w:rsid w:val="39AC6F0D"/>
    <w:rsid w:val="39D15C66"/>
    <w:rsid w:val="39E07088"/>
    <w:rsid w:val="39F17820"/>
    <w:rsid w:val="39F4516C"/>
    <w:rsid w:val="3A130B99"/>
    <w:rsid w:val="3A1741DD"/>
    <w:rsid w:val="3A202475"/>
    <w:rsid w:val="3A235A71"/>
    <w:rsid w:val="3A394901"/>
    <w:rsid w:val="3A3C5316"/>
    <w:rsid w:val="3A4058BF"/>
    <w:rsid w:val="3A4F4676"/>
    <w:rsid w:val="3A5F45D1"/>
    <w:rsid w:val="3A8227E5"/>
    <w:rsid w:val="3AB013BF"/>
    <w:rsid w:val="3AB6148B"/>
    <w:rsid w:val="3AB82B8A"/>
    <w:rsid w:val="3ABF27EA"/>
    <w:rsid w:val="3AD7234B"/>
    <w:rsid w:val="3ADE1AD5"/>
    <w:rsid w:val="3AE56805"/>
    <w:rsid w:val="3B132590"/>
    <w:rsid w:val="3B5847E9"/>
    <w:rsid w:val="3B8E4D2C"/>
    <w:rsid w:val="3B8F407A"/>
    <w:rsid w:val="3BA60B93"/>
    <w:rsid w:val="3BB616DF"/>
    <w:rsid w:val="3BF3026A"/>
    <w:rsid w:val="3C0A10A8"/>
    <w:rsid w:val="3C125364"/>
    <w:rsid w:val="3C1F0FD1"/>
    <w:rsid w:val="3C2351B6"/>
    <w:rsid w:val="3C444AF5"/>
    <w:rsid w:val="3C4D3897"/>
    <w:rsid w:val="3C4D6F59"/>
    <w:rsid w:val="3C5E539B"/>
    <w:rsid w:val="3C630A5B"/>
    <w:rsid w:val="3C7269E9"/>
    <w:rsid w:val="3CC330F6"/>
    <w:rsid w:val="3CC50422"/>
    <w:rsid w:val="3CC63F65"/>
    <w:rsid w:val="3CC86FC9"/>
    <w:rsid w:val="3CC91D70"/>
    <w:rsid w:val="3CCB46CA"/>
    <w:rsid w:val="3D0972EB"/>
    <w:rsid w:val="3D2F43EF"/>
    <w:rsid w:val="3D41092A"/>
    <w:rsid w:val="3D68584E"/>
    <w:rsid w:val="3D6C3C45"/>
    <w:rsid w:val="3D764B63"/>
    <w:rsid w:val="3D9700D0"/>
    <w:rsid w:val="3D9A7321"/>
    <w:rsid w:val="3D9C48F8"/>
    <w:rsid w:val="3DA2472E"/>
    <w:rsid w:val="3DAA2473"/>
    <w:rsid w:val="3E2357D8"/>
    <w:rsid w:val="3E315296"/>
    <w:rsid w:val="3E507BFC"/>
    <w:rsid w:val="3E515C8A"/>
    <w:rsid w:val="3E596005"/>
    <w:rsid w:val="3E833A1C"/>
    <w:rsid w:val="3E9F7AC9"/>
    <w:rsid w:val="3EA93C5B"/>
    <w:rsid w:val="3EAD5512"/>
    <w:rsid w:val="3ED5179E"/>
    <w:rsid w:val="3ED573B0"/>
    <w:rsid w:val="3EE06334"/>
    <w:rsid w:val="3EFA70D2"/>
    <w:rsid w:val="3EFE53C3"/>
    <w:rsid w:val="3F1832CF"/>
    <w:rsid w:val="3F274589"/>
    <w:rsid w:val="3F302C3B"/>
    <w:rsid w:val="3F4773CE"/>
    <w:rsid w:val="3F527AF1"/>
    <w:rsid w:val="3F65460E"/>
    <w:rsid w:val="3F742B12"/>
    <w:rsid w:val="3F7519AD"/>
    <w:rsid w:val="3F8844F1"/>
    <w:rsid w:val="3F896B4D"/>
    <w:rsid w:val="3F9A4869"/>
    <w:rsid w:val="3FA4756D"/>
    <w:rsid w:val="3FC578AB"/>
    <w:rsid w:val="3FC77C56"/>
    <w:rsid w:val="3FCC7236"/>
    <w:rsid w:val="3FCF5C3C"/>
    <w:rsid w:val="3FCF65FA"/>
    <w:rsid w:val="3FE04933"/>
    <w:rsid w:val="3FE17441"/>
    <w:rsid w:val="3FEB4308"/>
    <w:rsid w:val="3FF567C8"/>
    <w:rsid w:val="40185137"/>
    <w:rsid w:val="402F14D9"/>
    <w:rsid w:val="40477AD1"/>
    <w:rsid w:val="405B2D35"/>
    <w:rsid w:val="406608CC"/>
    <w:rsid w:val="406C1FA6"/>
    <w:rsid w:val="407630B7"/>
    <w:rsid w:val="407B0128"/>
    <w:rsid w:val="407E43D4"/>
    <w:rsid w:val="40902190"/>
    <w:rsid w:val="40BC60FB"/>
    <w:rsid w:val="40D75D3F"/>
    <w:rsid w:val="40E42E0D"/>
    <w:rsid w:val="40F8192B"/>
    <w:rsid w:val="410E66E7"/>
    <w:rsid w:val="41220CAF"/>
    <w:rsid w:val="412E4991"/>
    <w:rsid w:val="413A56F6"/>
    <w:rsid w:val="4165249F"/>
    <w:rsid w:val="418A6E14"/>
    <w:rsid w:val="41A27872"/>
    <w:rsid w:val="41AC2313"/>
    <w:rsid w:val="41BB44E3"/>
    <w:rsid w:val="41C50675"/>
    <w:rsid w:val="41F47D3B"/>
    <w:rsid w:val="41FF100D"/>
    <w:rsid w:val="420559B3"/>
    <w:rsid w:val="42095285"/>
    <w:rsid w:val="423773BA"/>
    <w:rsid w:val="42386C01"/>
    <w:rsid w:val="423A336B"/>
    <w:rsid w:val="4252254E"/>
    <w:rsid w:val="425B59EA"/>
    <w:rsid w:val="425D2BCC"/>
    <w:rsid w:val="42937CAF"/>
    <w:rsid w:val="4298644F"/>
    <w:rsid w:val="42AD2B71"/>
    <w:rsid w:val="42BC56D0"/>
    <w:rsid w:val="430168B8"/>
    <w:rsid w:val="430C159E"/>
    <w:rsid w:val="431C0FD8"/>
    <w:rsid w:val="432C69BC"/>
    <w:rsid w:val="4377327F"/>
    <w:rsid w:val="437D28A4"/>
    <w:rsid w:val="43904469"/>
    <w:rsid w:val="43933CA0"/>
    <w:rsid w:val="43A82FD5"/>
    <w:rsid w:val="43B91DAA"/>
    <w:rsid w:val="43C83510"/>
    <w:rsid w:val="44081F09"/>
    <w:rsid w:val="440A2F83"/>
    <w:rsid w:val="441901BE"/>
    <w:rsid w:val="445C5D26"/>
    <w:rsid w:val="446E1F07"/>
    <w:rsid w:val="448B2102"/>
    <w:rsid w:val="449900F5"/>
    <w:rsid w:val="44A4522B"/>
    <w:rsid w:val="44B17003"/>
    <w:rsid w:val="451F55A0"/>
    <w:rsid w:val="45210077"/>
    <w:rsid w:val="45340525"/>
    <w:rsid w:val="453C7D64"/>
    <w:rsid w:val="453F7628"/>
    <w:rsid w:val="45403E4D"/>
    <w:rsid w:val="454050A9"/>
    <w:rsid w:val="45407AB5"/>
    <w:rsid w:val="459704A1"/>
    <w:rsid w:val="45A50F46"/>
    <w:rsid w:val="45B11EE5"/>
    <w:rsid w:val="45B95841"/>
    <w:rsid w:val="45DA3724"/>
    <w:rsid w:val="45FA6EE8"/>
    <w:rsid w:val="46195EA3"/>
    <w:rsid w:val="461D4A97"/>
    <w:rsid w:val="46513FED"/>
    <w:rsid w:val="468C02FD"/>
    <w:rsid w:val="469446D6"/>
    <w:rsid w:val="469A39EA"/>
    <w:rsid w:val="46AB2646"/>
    <w:rsid w:val="46B01C29"/>
    <w:rsid w:val="46CA1E85"/>
    <w:rsid w:val="46E37D9E"/>
    <w:rsid w:val="46EE42DF"/>
    <w:rsid w:val="46FE3D85"/>
    <w:rsid w:val="470C633F"/>
    <w:rsid w:val="472425FA"/>
    <w:rsid w:val="47271E3C"/>
    <w:rsid w:val="47372735"/>
    <w:rsid w:val="475F0927"/>
    <w:rsid w:val="47AB7402"/>
    <w:rsid w:val="47AC276C"/>
    <w:rsid w:val="47AD05EC"/>
    <w:rsid w:val="47E24779"/>
    <w:rsid w:val="47FD0920"/>
    <w:rsid w:val="48141AAF"/>
    <w:rsid w:val="481B3258"/>
    <w:rsid w:val="482728EE"/>
    <w:rsid w:val="483F0D04"/>
    <w:rsid w:val="485830BD"/>
    <w:rsid w:val="485C3C19"/>
    <w:rsid w:val="488D33C5"/>
    <w:rsid w:val="489E3831"/>
    <w:rsid w:val="48B71159"/>
    <w:rsid w:val="48CB3FD3"/>
    <w:rsid w:val="48CB4F91"/>
    <w:rsid w:val="48E13ECD"/>
    <w:rsid w:val="48EB1726"/>
    <w:rsid w:val="48FF78DE"/>
    <w:rsid w:val="49242E99"/>
    <w:rsid w:val="494F29A1"/>
    <w:rsid w:val="49675974"/>
    <w:rsid w:val="49756946"/>
    <w:rsid w:val="497C7168"/>
    <w:rsid w:val="499047DE"/>
    <w:rsid w:val="4995475C"/>
    <w:rsid w:val="49A43C34"/>
    <w:rsid w:val="49B13DF0"/>
    <w:rsid w:val="49C31FA6"/>
    <w:rsid w:val="49C60D15"/>
    <w:rsid w:val="49D81C0B"/>
    <w:rsid w:val="49E4194A"/>
    <w:rsid w:val="49EE7CDB"/>
    <w:rsid w:val="4A0C3A08"/>
    <w:rsid w:val="4A0D0548"/>
    <w:rsid w:val="4A17427C"/>
    <w:rsid w:val="4A2C42CD"/>
    <w:rsid w:val="4A314DD7"/>
    <w:rsid w:val="4A333BC5"/>
    <w:rsid w:val="4A3D6D7D"/>
    <w:rsid w:val="4A5374A0"/>
    <w:rsid w:val="4A581909"/>
    <w:rsid w:val="4A5E3812"/>
    <w:rsid w:val="4A67017F"/>
    <w:rsid w:val="4A81724A"/>
    <w:rsid w:val="4A9021DB"/>
    <w:rsid w:val="4A9E67FA"/>
    <w:rsid w:val="4AA5234A"/>
    <w:rsid w:val="4AB873A4"/>
    <w:rsid w:val="4AD658D5"/>
    <w:rsid w:val="4AD94078"/>
    <w:rsid w:val="4AEE52AC"/>
    <w:rsid w:val="4AF41787"/>
    <w:rsid w:val="4B0444D9"/>
    <w:rsid w:val="4B13279D"/>
    <w:rsid w:val="4B5936AA"/>
    <w:rsid w:val="4B5C462F"/>
    <w:rsid w:val="4B5D1EF4"/>
    <w:rsid w:val="4B5F55B3"/>
    <w:rsid w:val="4B6D0492"/>
    <w:rsid w:val="4B745E42"/>
    <w:rsid w:val="4B8735C1"/>
    <w:rsid w:val="4B8F2DC3"/>
    <w:rsid w:val="4B9E091B"/>
    <w:rsid w:val="4BCF496E"/>
    <w:rsid w:val="4BDC08AD"/>
    <w:rsid w:val="4BED4D12"/>
    <w:rsid w:val="4BF34CE1"/>
    <w:rsid w:val="4BFE5090"/>
    <w:rsid w:val="4C11306C"/>
    <w:rsid w:val="4C147D69"/>
    <w:rsid w:val="4C235CCD"/>
    <w:rsid w:val="4C2C1484"/>
    <w:rsid w:val="4C2E470A"/>
    <w:rsid w:val="4C3327C1"/>
    <w:rsid w:val="4C3D0114"/>
    <w:rsid w:val="4C49505E"/>
    <w:rsid w:val="4C4B1E3A"/>
    <w:rsid w:val="4C5C7BFB"/>
    <w:rsid w:val="4C632C63"/>
    <w:rsid w:val="4C8338E1"/>
    <w:rsid w:val="4CA45A05"/>
    <w:rsid w:val="4CB13156"/>
    <w:rsid w:val="4CC976B2"/>
    <w:rsid w:val="4CE40C32"/>
    <w:rsid w:val="4CE71BB7"/>
    <w:rsid w:val="4D22443E"/>
    <w:rsid w:val="4D2401EC"/>
    <w:rsid w:val="4D303FD6"/>
    <w:rsid w:val="4D316B33"/>
    <w:rsid w:val="4D321DC9"/>
    <w:rsid w:val="4D590BF1"/>
    <w:rsid w:val="4D68550E"/>
    <w:rsid w:val="4D6B1F05"/>
    <w:rsid w:val="4D8718F8"/>
    <w:rsid w:val="4D8D402F"/>
    <w:rsid w:val="4DA9749E"/>
    <w:rsid w:val="4DBC1DFB"/>
    <w:rsid w:val="4DBD4199"/>
    <w:rsid w:val="4DC12B9F"/>
    <w:rsid w:val="4DD36A02"/>
    <w:rsid w:val="4DE44058"/>
    <w:rsid w:val="4DE4442C"/>
    <w:rsid w:val="4E0D0A85"/>
    <w:rsid w:val="4E100AB2"/>
    <w:rsid w:val="4E233B3D"/>
    <w:rsid w:val="4E8D4700"/>
    <w:rsid w:val="4EA07AD7"/>
    <w:rsid w:val="4EA161FF"/>
    <w:rsid w:val="4EBD3D3C"/>
    <w:rsid w:val="4EF07430"/>
    <w:rsid w:val="4F0831DA"/>
    <w:rsid w:val="4F0B36E6"/>
    <w:rsid w:val="4F3E6166"/>
    <w:rsid w:val="4F5178A3"/>
    <w:rsid w:val="4F5E4BE2"/>
    <w:rsid w:val="4F6B7BEA"/>
    <w:rsid w:val="4F7C649E"/>
    <w:rsid w:val="4F8667E6"/>
    <w:rsid w:val="4F9767CF"/>
    <w:rsid w:val="4FAB0DF3"/>
    <w:rsid w:val="4FB41285"/>
    <w:rsid w:val="4FD458D2"/>
    <w:rsid w:val="4FDE7EBA"/>
    <w:rsid w:val="501036E9"/>
    <w:rsid w:val="50213603"/>
    <w:rsid w:val="503B6F74"/>
    <w:rsid w:val="50480956"/>
    <w:rsid w:val="5056123F"/>
    <w:rsid w:val="505704B3"/>
    <w:rsid w:val="50591045"/>
    <w:rsid w:val="50831DE4"/>
    <w:rsid w:val="508558A6"/>
    <w:rsid w:val="508779D5"/>
    <w:rsid w:val="5088682A"/>
    <w:rsid w:val="508C2CB2"/>
    <w:rsid w:val="50997DCA"/>
    <w:rsid w:val="50B6517B"/>
    <w:rsid w:val="50F04F55"/>
    <w:rsid w:val="512A3E35"/>
    <w:rsid w:val="51413A5A"/>
    <w:rsid w:val="514D4018"/>
    <w:rsid w:val="51596572"/>
    <w:rsid w:val="517F4BC4"/>
    <w:rsid w:val="51A20030"/>
    <w:rsid w:val="51A73B0A"/>
    <w:rsid w:val="51C407B0"/>
    <w:rsid w:val="51CB0037"/>
    <w:rsid w:val="51F87141"/>
    <w:rsid w:val="522A39D8"/>
    <w:rsid w:val="52392A02"/>
    <w:rsid w:val="52435C07"/>
    <w:rsid w:val="524C6970"/>
    <w:rsid w:val="52530420"/>
    <w:rsid w:val="525D670B"/>
    <w:rsid w:val="526A0AB7"/>
    <w:rsid w:val="52763594"/>
    <w:rsid w:val="52783AA3"/>
    <w:rsid w:val="528470A4"/>
    <w:rsid w:val="528F1A18"/>
    <w:rsid w:val="52904000"/>
    <w:rsid w:val="52C65B54"/>
    <w:rsid w:val="52C737F3"/>
    <w:rsid w:val="52EC1C76"/>
    <w:rsid w:val="53186EE4"/>
    <w:rsid w:val="5339007E"/>
    <w:rsid w:val="535C76C6"/>
    <w:rsid w:val="53637DCA"/>
    <w:rsid w:val="537257C5"/>
    <w:rsid w:val="53A157B9"/>
    <w:rsid w:val="53B85768"/>
    <w:rsid w:val="53BA2E6A"/>
    <w:rsid w:val="53C33CD8"/>
    <w:rsid w:val="53C43BC7"/>
    <w:rsid w:val="53D61973"/>
    <w:rsid w:val="53DF5628"/>
    <w:rsid w:val="53F6304F"/>
    <w:rsid w:val="5425031B"/>
    <w:rsid w:val="54534028"/>
    <w:rsid w:val="54537B65"/>
    <w:rsid w:val="545E27DF"/>
    <w:rsid w:val="54843BB7"/>
    <w:rsid w:val="54C07D3C"/>
    <w:rsid w:val="54FB4AFB"/>
    <w:rsid w:val="550E6C76"/>
    <w:rsid w:val="553A4B2E"/>
    <w:rsid w:val="55402408"/>
    <w:rsid w:val="55413F6A"/>
    <w:rsid w:val="5553267F"/>
    <w:rsid w:val="55584384"/>
    <w:rsid w:val="555A26FB"/>
    <w:rsid w:val="5570591E"/>
    <w:rsid w:val="55934C35"/>
    <w:rsid w:val="559B18F9"/>
    <w:rsid w:val="55A84C13"/>
    <w:rsid w:val="55E8288A"/>
    <w:rsid w:val="55F310CC"/>
    <w:rsid w:val="55F70216"/>
    <w:rsid w:val="5621502B"/>
    <w:rsid w:val="563D4EBF"/>
    <w:rsid w:val="565A2562"/>
    <w:rsid w:val="565B7F3A"/>
    <w:rsid w:val="5665084A"/>
    <w:rsid w:val="56834D00"/>
    <w:rsid w:val="568432FD"/>
    <w:rsid w:val="568C4C53"/>
    <w:rsid w:val="569430D1"/>
    <w:rsid w:val="56945527"/>
    <w:rsid w:val="56A207E4"/>
    <w:rsid w:val="56A516E6"/>
    <w:rsid w:val="56B860D6"/>
    <w:rsid w:val="56CE49F6"/>
    <w:rsid w:val="56D47B48"/>
    <w:rsid w:val="56DF623F"/>
    <w:rsid w:val="56E53A8A"/>
    <w:rsid w:val="56ED74A9"/>
    <w:rsid w:val="56F15EAF"/>
    <w:rsid w:val="57015B11"/>
    <w:rsid w:val="57297E4C"/>
    <w:rsid w:val="573F1832"/>
    <w:rsid w:val="574511BD"/>
    <w:rsid w:val="574D2D46"/>
    <w:rsid w:val="57535F58"/>
    <w:rsid w:val="57540152"/>
    <w:rsid w:val="57600C19"/>
    <w:rsid w:val="576A410C"/>
    <w:rsid w:val="57851FA6"/>
    <w:rsid w:val="578B60AE"/>
    <w:rsid w:val="57B8020A"/>
    <w:rsid w:val="57D10DA1"/>
    <w:rsid w:val="580C7901"/>
    <w:rsid w:val="58160449"/>
    <w:rsid w:val="582721E3"/>
    <w:rsid w:val="583D1F4B"/>
    <w:rsid w:val="5841015B"/>
    <w:rsid w:val="5860518C"/>
    <w:rsid w:val="586256A7"/>
    <w:rsid w:val="58840844"/>
    <w:rsid w:val="589C3163"/>
    <w:rsid w:val="58A310F9"/>
    <w:rsid w:val="58A42014"/>
    <w:rsid w:val="58D91F55"/>
    <w:rsid w:val="58E53F4D"/>
    <w:rsid w:val="58F76517"/>
    <w:rsid w:val="59144198"/>
    <w:rsid w:val="59456704"/>
    <w:rsid w:val="5950021B"/>
    <w:rsid w:val="59502516"/>
    <w:rsid w:val="5955281D"/>
    <w:rsid w:val="59A26A9D"/>
    <w:rsid w:val="59B014A3"/>
    <w:rsid w:val="59B05DB3"/>
    <w:rsid w:val="59D04D4F"/>
    <w:rsid w:val="59D51EEC"/>
    <w:rsid w:val="59D800F7"/>
    <w:rsid w:val="59DA6BF7"/>
    <w:rsid w:val="59E37225"/>
    <w:rsid w:val="59F11964"/>
    <w:rsid w:val="5A0B324C"/>
    <w:rsid w:val="5A0C6784"/>
    <w:rsid w:val="5A2921FA"/>
    <w:rsid w:val="5A4B01B0"/>
    <w:rsid w:val="5A4B611D"/>
    <w:rsid w:val="5A4D3444"/>
    <w:rsid w:val="5A5C0A61"/>
    <w:rsid w:val="5A682201"/>
    <w:rsid w:val="5A6F65C2"/>
    <w:rsid w:val="5A8B4626"/>
    <w:rsid w:val="5AA453D4"/>
    <w:rsid w:val="5AB4402F"/>
    <w:rsid w:val="5AEA1628"/>
    <w:rsid w:val="5AF63138"/>
    <w:rsid w:val="5AF7549A"/>
    <w:rsid w:val="5B141A61"/>
    <w:rsid w:val="5B1E6E24"/>
    <w:rsid w:val="5B2118F7"/>
    <w:rsid w:val="5B4C1057"/>
    <w:rsid w:val="5B603D7C"/>
    <w:rsid w:val="5B7D43F6"/>
    <w:rsid w:val="5BD777E6"/>
    <w:rsid w:val="5C122D5E"/>
    <w:rsid w:val="5C330BCF"/>
    <w:rsid w:val="5C733038"/>
    <w:rsid w:val="5C737D2C"/>
    <w:rsid w:val="5C7E6E4B"/>
    <w:rsid w:val="5C817DEC"/>
    <w:rsid w:val="5C8F2968"/>
    <w:rsid w:val="5C9A2097"/>
    <w:rsid w:val="5CAB6A15"/>
    <w:rsid w:val="5CAC7202"/>
    <w:rsid w:val="5CB26DE8"/>
    <w:rsid w:val="5CE738DA"/>
    <w:rsid w:val="5CF1718A"/>
    <w:rsid w:val="5D1B7965"/>
    <w:rsid w:val="5D365596"/>
    <w:rsid w:val="5D446203"/>
    <w:rsid w:val="5D476B7B"/>
    <w:rsid w:val="5D52647E"/>
    <w:rsid w:val="5D5668B3"/>
    <w:rsid w:val="5D6C32DC"/>
    <w:rsid w:val="5D8C1586"/>
    <w:rsid w:val="5D8F380B"/>
    <w:rsid w:val="5D906018"/>
    <w:rsid w:val="5D911291"/>
    <w:rsid w:val="5D9A6C97"/>
    <w:rsid w:val="5D9B7BB6"/>
    <w:rsid w:val="5DA452EC"/>
    <w:rsid w:val="5DB67994"/>
    <w:rsid w:val="5DC0655D"/>
    <w:rsid w:val="5DE35818"/>
    <w:rsid w:val="5DEA5196"/>
    <w:rsid w:val="5DFB71CE"/>
    <w:rsid w:val="5E3E5798"/>
    <w:rsid w:val="5E7B3AF8"/>
    <w:rsid w:val="5E8A14A9"/>
    <w:rsid w:val="5E952F92"/>
    <w:rsid w:val="5EC41684"/>
    <w:rsid w:val="5ECC6ED2"/>
    <w:rsid w:val="5EDB3C26"/>
    <w:rsid w:val="5F111865"/>
    <w:rsid w:val="5F1C698C"/>
    <w:rsid w:val="5F2E10CF"/>
    <w:rsid w:val="5F393BBF"/>
    <w:rsid w:val="5F503E46"/>
    <w:rsid w:val="5F5825D3"/>
    <w:rsid w:val="5F6B6599"/>
    <w:rsid w:val="5FB07830"/>
    <w:rsid w:val="5FB15CCE"/>
    <w:rsid w:val="5FD149C5"/>
    <w:rsid w:val="5FD501C7"/>
    <w:rsid w:val="5FE71C0A"/>
    <w:rsid w:val="600B0C58"/>
    <w:rsid w:val="600B2AA4"/>
    <w:rsid w:val="600D74F7"/>
    <w:rsid w:val="60195438"/>
    <w:rsid w:val="601A2EBA"/>
    <w:rsid w:val="60261E8C"/>
    <w:rsid w:val="6028529C"/>
    <w:rsid w:val="605C6A77"/>
    <w:rsid w:val="607A0954"/>
    <w:rsid w:val="60843A2C"/>
    <w:rsid w:val="608E3C91"/>
    <w:rsid w:val="60990088"/>
    <w:rsid w:val="60A3539C"/>
    <w:rsid w:val="60AC022A"/>
    <w:rsid w:val="60D11363"/>
    <w:rsid w:val="60D47226"/>
    <w:rsid w:val="60E46266"/>
    <w:rsid w:val="60E63CC9"/>
    <w:rsid w:val="611B6B1B"/>
    <w:rsid w:val="611C0842"/>
    <w:rsid w:val="61277B74"/>
    <w:rsid w:val="61336954"/>
    <w:rsid w:val="616748AA"/>
    <w:rsid w:val="61886913"/>
    <w:rsid w:val="619929B6"/>
    <w:rsid w:val="61AF068E"/>
    <w:rsid w:val="61BF76A4"/>
    <w:rsid w:val="61D07906"/>
    <w:rsid w:val="61E345CA"/>
    <w:rsid w:val="61E736CF"/>
    <w:rsid w:val="621351F3"/>
    <w:rsid w:val="628864B6"/>
    <w:rsid w:val="62A65A66"/>
    <w:rsid w:val="62AC7F1A"/>
    <w:rsid w:val="62B824EE"/>
    <w:rsid w:val="62E23692"/>
    <w:rsid w:val="63005D66"/>
    <w:rsid w:val="63141638"/>
    <w:rsid w:val="631A6403"/>
    <w:rsid w:val="63284D3B"/>
    <w:rsid w:val="632C533B"/>
    <w:rsid w:val="63364F75"/>
    <w:rsid w:val="634D4E90"/>
    <w:rsid w:val="63501369"/>
    <w:rsid w:val="63901267"/>
    <w:rsid w:val="639C2AFB"/>
    <w:rsid w:val="63AA7CFC"/>
    <w:rsid w:val="63AB5173"/>
    <w:rsid w:val="63B333D8"/>
    <w:rsid w:val="63B91F59"/>
    <w:rsid w:val="63BF116F"/>
    <w:rsid w:val="63CA5BF8"/>
    <w:rsid w:val="63D30A57"/>
    <w:rsid w:val="63D8165B"/>
    <w:rsid w:val="63E35EEA"/>
    <w:rsid w:val="63ED31C7"/>
    <w:rsid w:val="63F1154B"/>
    <w:rsid w:val="64362CFA"/>
    <w:rsid w:val="643C1D4A"/>
    <w:rsid w:val="64404966"/>
    <w:rsid w:val="64860B5E"/>
    <w:rsid w:val="64B557C6"/>
    <w:rsid w:val="64B90AB9"/>
    <w:rsid w:val="64C762EE"/>
    <w:rsid w:val="64C8331B"/>
    <w:rsid w:val="64F2779B"/>
    <w:rsid w:val="6505464C"/>
    <w:rsid w:val="650F715A"/>
    <w:rsid w:val="65277BFE"/>
    <w:rsid w:val="65355B53"/>
    <w:rsid w:val="65445B42"/>
    <w:rsid w:val="655C775B"/>
    <w:rsid w:val="65652664"/>
    <w:rsid w:val="656C74F3"/>
    <w:rsid w:val="659F0576"/>
    <w:rsid w:val="65A8552E"/>
    <w:rsid w:val="65BB257E"/>
    <w:rsid w:val="65C378B1"/>
    <w:rsid w:val="65C80BBC"/>
    <w:rsid w:val="65CF1796"/>
    <w:rsid w:val="65E22210"/>
    <w:rsid w:val="65F168CB"/>
    <w:rsid w:val="660D4525"/>
    <w:rsid w:val="6619508D"/>
    <w:rsid w:val="66286A28"/>
    <w:rsid w:val="662A1F2E"/>
    <w:rsid w:val="662F5033"/>
    <w:rsid w:val="663102DF"/>
    <w:rsid w:val="663C0111"/>
    <w:rsid w:val="664E2E3C"/>
    <w:rsid w:val="66555272"/>
    <w:rsid w:val="6666770B"/>
    <w:rsid w:val="667C0A4F"/>
    <w:rsid w:val="66A97BAD"/>
    <w:rsid w:val="66AB5F44"/>
    <w:rsid w:val="66BE083C"/>
    <w:rsid w:val="66C571A0"/>
    <w:rsid w:val="6713640E"/>
    <w:rsid w:val="673335DC"/>
    <w:rsid w:val="678A61CB"/>
    <w:rsid w:val="678D29F1"/>
    <w:rsid w:val="678E0472"/>
    <w:rsid w:val="67940B85"/>
    <w:rsid w:val="67976B83"/>
    <w:rsid w:val="67A40D91"/>
    <w:rsid w:val="67A5337F"/>
    <w:rsid w:val="67AD7C40"/>
    <w:rsid w:val="67D27228"/>
    <w:rsid w:val="67DC52AF"/>
    <w:rsid w:val="67EB4E2E"/>
    <w:rsid w:val="67FB2D76"/>
    <w:rsid w:val="68014F5D"/>
    <w:rsid w:val="680F1CC5"/>
    <w:rsid w:val="6819213A"/>
    <w:rsid w:val="681D772A"/>
    <w:rsid w:val="687B4BF8"/>
    <w:rsid w:val="688504B1"/>
    <w:rsid w:val="688F307D"/>
    <w:rsid w:val="689D333D"/>
    <w:rsid w:val="689F4073"/>
    <w:rsid w:val="68B85685"/>
    <w:rsid w:val="68DC3063"/>
    <w:rsid w:val="68E1201D"/>
    <w:rsid w:val="68EC0422"/>
    <w:rsid w:val="6923694C"/>
    <w:rsid w:val="69241843"/>
    <w:rsid w:val="695D1FE3"/>
    <w:rsid w:val="695E75C2"/>
    <w:rsid w:val="696714E2"/>
    <w:rsid w:val="6969738E"/>
    <w:rsid w:val="69725190"/>
    <w:rsid w:val="697A1E70"/>
    <w:rsid w:val="69840D94"/>
    <w:rsid w:val="698A6FB3"/>
    <w:rsid w:val="69966649"/>
    <w:rsid w:val="69DE4130"/>
    <w:rsid w:val="6A0016F1"/>
    <w:rsid w:val="6A7449B2"/>
    <w:rsid w:val="6A9929F4"/>
    <w:rsid w:val="6ACB2E33"/>
    <w:rsid w:val="6ACC52E9"/>
    <w:rsid w:val="6ACF763D"/>
    <w:rsid w:val="6AD63A5F"/>
    <w:rsid w:val="6AE01CC6"/>
    <w:rsid w:val="6AED54C5"/>
    <w:rsid w:val="6B2A231E"/>
    <w:rsid w:val="6B2E7664"/>
    <w:rsid w:val="6B586ED0"/>
    <w:rsid w:val="6B861395"/>
    <w:rsid w:val="6B940900"/>
    <w:rsid w:val="6B9659D1"/>
    <w:rsid w:val="6B992596"/>
    <w:rsid w:val="6BA40927"/>
    <w:rsid w:val="6BAC5136"/>
    <w:rsid w:val="6BB37DB8"/>
    <w:rsid w:val="6BBC4E35"/>
    <w:rsid w:val="6BC37142"/>
    <w:rsid w:val="6BC859EC"/>
    <w:rsid w:val="6BCB1147"/>
    <w:rsid w:val="6BF16ADA"/>
    <w:rsid w:val="6C0B4072"/>
    <w:rsid w:val="6C105A58"/>
    <w:rsid w:val="6C1364EE"/>
    <w:rsid w:val="6C223623"/>
    <w:rsid w:val="6C2B3181"/>
    <w:rsid w:val="6C4D36A2"/>
    <w:rsid w:val="6CC441E5"/>
    <w:rsid w:val="6CD00E99"/>
    <w:rsid w:val="6CEF2A56"/>
    <w:rsid w:val="6D1D2712"/>
    <w:rsid w:val="6D205895"/>
    <w:rsid w:val="6D711158"/>
    <w:rsid w:val="6D717C1E"/>
    <w:rsid w:val="6D7C7BAA"/>
    <w:rsid w:val="6D8433BC"/>
    <w:rsid w:val="6D8455BA"/>
    <w:rsid w:val="6D920153"/>
    <w:rsid w:val="6DA16A1C"/>
    <w:rsid w:val="6DA72D47"/>
    <w:rsid w:val="6DAF1C81"/>
    <w:rsid w:val="6DAF4A10"/>
    <w:rsid w:val="6DD250A5"/>
    <w:rsid w:val="6DE90B62"/>
    <w:rsid w:val="6E005087"/>
    <w:rsid w:val="6E025356"/>
    <w:rsid w:val="6E0E5A2B"/>
    <w:rsid w:val="6E2B203D"/>
    <w:rsid w:val="6E420B2D"/>
    <w:rsid w:val="6E4474A8"/>
    <w:rsid w:val="6E7521C9"/>
    <w:rsid w:val="6E7C3D78"/>
    <w:rsid w:val="6EA25D92"/>
    <w:rsid w:val="6EA51FEB"/>
    <w:rsid w:val="6EB754FC"/>
    <w:rsid w:val="6EBF447C"/>
    <w:rsid w:val="6EF967A0"/>
    <w:rsid w:val="6EFD396C"/>
    <w:rsid w:val="6F0674FF"/>
    <w:rsid w:val="6F2F0E79"/>
    <w:rsid w:val="6F3F3691"/>
    <w:rsid w:val="6F49144D"/>
    <w:rsid w:val="6F8A5194"/>
    <w:rsid w:val="6F9A510E"/>
    <w:rsid w:val="6FA40E37"/>
    <w:rsid w:val="6FC05107"/>
    <w:rsid w:val="6FCB133A"/>
    <w:rsid w:val="6FEC122C"/>
    <w:rsid w:val="6FF35ED1"/>
    <w:rsid w:val="700B3C9A"/>
    <w:rsid w:val="700E3F90"/>
    <w:rsid w:val="702B4594"/>
    <w:rsid w:val="703D221B"/>
    <w:rsid w:val="705169D2"/>
    <w:rsid w:val="705F3769"/>
    <w:rsid w:val="706E7C5A"/>
    <w:rsid w:val="70734988"/>
    <w:rsid w:val="709D4BC6"/>
    <w:rsid w:val="70A86CD7"/>
    <w:rsid w:val="70B712FE"/>
    <w:rsid w:val="70E7043C"/>
    <w:rsid w:val="70F80464"/>
    <w:rsid w:val="710160B5"/>
    <w:rsid w:val="71043090"/>
    <w:rsid w:val="71155816"/>
    <w:rsid w:val="712041AC"/>
    <w:rsid w:val="712B420C"/>
    <w:rsid w:val="713A694F"/>
    <w:rsid w:val="713C1E52"/>
    <w:rsid w:val="7140235F"/>
    <w:rsid w:val="7144725F"/>
    <w:rsid w:val="71633397"/>
    <w:rsid w:val="717133FA"/>
    <w:rsid w:val="717B0A3E"/>
    <w:rsid w:val="717D0177"/>
    <w:rsid w:val="71847F3E"/>
    <w:rsid w:val="71A053FA"/>
    <w:rsid w:val="71C139F6"/>
    <w:rsid w:val="71D12075"/>
    <w:rsid w:val="71DB0593"/>
    <w:rsid w:val="71F64B04"/>
    <w:rsid w:val="720A7028"/>
    <w:rsid w:val="721037CA"/>
    <w:rsid w:val="7216791F"/>
    <w:rsid w:val="722A4105"/>
    <w:rsid w:val="72527F77"/>
    <w:rsid w:val="72606732"/>
    <w:rsid w:val="726561BD"/>
    <w:rsid w:val="729A0EE0"/>
    <w:rsid w:val="729B18D8"/>
    <w:rsid w:val="72B41A3F"/>
    <w:rsid w:val="72BF6CA4"/>
    <w:rsid w:val="72C00DB2"/>
    <w:rsid w:val="72C309D4"/>
    <w:rsid w:val="73085C4E"/>
    <w:rsid w:val="733C2B39"/>
    <w:rsid w:val="734B707A"/>
    <w:rsid w:val="735636FE"/>
    <w:rsid w:val="73610221"/>
    <w:rsid w:val="73616C5B"/>
    <w:rsid w:val="73923252"/>
    <w:rsid w:val="73A52ADB"/>
    <w:rsid w:val="73F04490"/>
    <w:rsid w:val="73F94C97"/>
    <w:rsid w:val="73FA64D3"/>
    <w:rsid w:val="740857E9"/>
    <w:rsid w:val="74230A74"/>
    <w:rsid w:val="74434489"/>
    <w:rsid w:val="74447BCC"/>
    <w:rsid w:val="744C388B"/>
    <w:rsid w:val="745154C4"/>
    <w:rsid w:val="74623260"/>
    <w:rsid w:val="7468238A"/>
    <w:rsid w:val="746D2F8F"/>
    <w:rsid w:val="747B3F9D"/>
    <w:rsid w:val="749651AF"/>
    <w:rsid w:val="749C4A3B"/>
    <w:rsid w:val="74AF290C"/>
    <w:rsid w:val="74B81F02"/>
    <w:rsid w:val="74C32DC7"/>
    <w:rsid w:val="74CF77B0"/>
    <w:rsid w:val="74D96DC8"/>
    <w:rsid w:val="74DE7873"/>
    <w:rsid w:val="74FF02FF"/>
    <w:rsid w:val="750D5096"/>
    <w:rsid w:val="752040A9"/>
    <w:rsid w:val="75291143"/>
    <w:rsid w:val="752F7911"/>
    <w:rsid w:val="753F0BF9"/>
    <w:rsid w:val="757E4BB2"/>
    <w:rsid w:val="75907AC8"/>
    <w:rsid w:val="759D11B8"/>
    <w:rsid w:val="75D72E5A"/>
    <w:rsid w:val="75E21BF7"/>
    <w:rsid w:val="75E50A31"/>
    <w:rsid w:val="75ED0276"/>
    <w:rsid w:val="75F60897"/>
    <w:rsid w:val="75FE5CA3"/>
    <w:rsid w:val="76090637"/>
    <w:rsid w:val="76134807"/>
    <w:rsid w:val="76272627"/>
    <w:rsid w:val="763273F7"/>
    <w:rsid w:val="765457D0"/>
    <w:rsid w:val="765F5DB9"/>
    <w:rsid w:val="76842C25"/>
    <w:rsid w:val="76B17A1D"/>
    <w:rsid w:val="76C912D5"/>
    <w:rsid w:val="76CD7DE2"/>
    <w:rsid w:val="76DE2D93"/>
    <w:rsid w:val="76EC3EE7"/>
    <w:rsid w:val="76ED04C8"/>
    <w:rsid w:val="76F31A34"/>
    <w:rsid w:val="76FB2D9B"/>
    <w:rsid w:val="76FF6603"/>
    <w:rsid w:val="770B638D"/>
    <w:rsid w:val="770D2045"/>
    <w:rsid w:val="772911F0"/>
    <w:rsid w:val="773A73DD"/>
    <w:rsid w:val="77540EAB"/>
    <w:rsid w:val="775E4966"/>
    <w:rsid w:val="776A5D85"/>
    <w:rsid w:val="77720FB5"/>
    <w:rsid w:val="77760FFC"/>
    <w:rsid w:val="77CC63EB"/>
    <w:rsid w:val="77E34BBF"/>
    <w:rsid w:val="77EE514F"/>
    <w:rsid w:val="78342D62"/>
    <w:rsid w:val="783A0CDB"/>
    <w:rsid w:val="78473831"/>
    <w:rsid w:val="786A2128"/>
    <w:rsid w:val="787F5E0E"/>
    <w:rsid w:val="789A41C2"/>
    <w:rsid w:val="78AF300E"/>
    <w:rsid w:val="78B86A6C"/>
    <w:rsid w:val="78BD3A05"/>
    <w:rsid w:val="78CB70BB"/>
    <w:rsid w:val="78CC6D3B"/>
    <w:rsid w:val="78F557EF"/>
    <w:rsid w:val="79096BA0"/>
    <w:rsid w:val="790E678A"/>
    <w:rsid w:val="79276FF6"/>
    <w:rsid w:val="79283BD2"/>
    <w:rsid w:val="79444A26"/>
    <w:rsid w:val="79446699"/>
    <w:rsid w:val="795F0D60"/>
    <w:rsid w:val="79802062"/>
    <w:rsid w:val="79844074"/>
    <w:rsid w:val="79882CF2"/>
    <w:rsid w:val="798B5E75"/>
    <w:rsid w:val="799C12D1"/>
    <w:rsid w:val="79A15901"/>
    <w:rsid w:val="79BA211C"/>
    <w:rsid w:val="79D548EA"/>
    <w:rsid w:val="79DD070F"/>
    <w:rsid w:val="79F57AA2"/>
    <w:rsid w:val="7A024427"/>
    <w:rsid w:val="7A2902FC"/>
    <w:rsid w:val="7A543032"/>
    <w:rsid w:val="7A6A1A7F"/>
    <w:rsid w:val="7A7747EC"/>
    <w:rsid w:val="7A883FEE"/>
    <w:rsid w:val="7AA51AE9"/>
    <w:rsid w:val="7AB93063"/>
    <w:rsid w:val="7ABF07F0"/>
    <w:rsid w:val="7ACD1F05"/>
    <w:rsid w:val="7ACF3A41"/>
    <w:rsid w:val="7AD623EF"/>
    <w:rsid w:val="7B111CB9"/>
    <w:rsid w:val="7B3B0CF5"/>
    <w:rsid w:val="7B402043"/>
    <w:rsid w:val="7B587D8B"/>
    <w:rsid w:val="7B5F4AF6"/>
    <w:rsid w:val="7B6446E7"/>
    <w:rsid w:val="7B7421C6"/>
    <w:rsid w:val="7B897F9C"/>
    <w:rsid w:val="7B8A1AC6"/>
    <w:rsid w:val="7B8B6C3F"/>
    <w:rsid w:val="7B974C50"/>
    <w:rsid w:val="7BA3748A"/>
    <w:rsid w:val="7BBF0DE6"/>
    <w:rsid w:val="7BC94525"/>
    <w:rsid w:val="7BCA41A5"/>
    <w:rsid w:val="7BDE0036"/>
    <w:rsid w:val="7C0C42D3"/>
    <w:rsid w:val="7C2D09C7"/>
    <w:rsid w:val="7C420509"/>
    <w:rsid w:val="7C607F1C"/>
    <w:rsid w:val="7C853942"/>
    <w:rsid w:val="7CAA7097"/>
    <w:rsid w:val="7CBA3DB9"/>
    <w:rsid w:val="7CE615AE"/>
    <w:rsid w:val="7CEF733F"/>
    <w:rsid w:val="7CF96612"/>
    <w:rsid w:val="7D0261D9"/>
    <w:rsid w:val="7D296539"/>
    <w:rsid w:val="7D2A34EB"/>
    <w:rsid w:val="7D3014EE"/>
    <w:rsid w:val="7D4D65D6"/>
    <w:rsid w:val="7D5A7F7D"/>
    <w:rsid w:val="7D6361EF"/>
    <w:rsid w:val="7D696B90"/>
    <w:rsid w:val="7D6A3C51"/>
    <w:rsid w:val="7D80686A"/>
    <w:rsid w:val="7D9010A7"/>
    <w:rsid w:val="7D9646F1"/>
    <w:rsid w:val="7D983CB5"/>
    <w:rsid w:val="7DA13DAB"/>
    <w:rsid w:val="7DAC06B5"/>
    <w:rsid w:val="7DAE2712"/>
    <w:rsid w:val="7DB36FB1"/>
    <w:rsid w:val="7DB76B9E"/>
    <w:rsid w:val="7DDA72F8"/>
    <w:rsid w:val="7E3434E3"/>
    <w:rsid w:val="7E3E74AD"/>
    <w:rsid w:val="7E497A3C"/>
    <w:rsid w:val="7E4C58A3"/>
    <w:rsid w:val="7E5073C7"/>
    <w:rsid w:val="7E610386"/>
    <w:rsid w:val="7E7E34B2"/>
    <w:rsid w:val="7E9C40FF"/>
    <w:rsid w:val="7EAA45DE"/>
    <w:rsid w:val="7EC20180"/>
    <w:rsid w:val="7EC32A29"/>
    <w:rsid w:val="7ECC4429"/>
    <w:rsid w:val="7ED812E4"/>
    <w:rsid w:val="7EDB12F5"/>
    <w:rsid w:val="7EEE7388"/>
    <w:rsid w:val="7F0B337E"/>
    <w:rsid w:val="7F122D08"/>
    <w:rsid w:val="7F28568F"/>
    <w:rsid w:val="7F443A18"/>
    <w:rsid w:val="7F5501A0"/>
    <w:rsid w:val="7F5D4081"/>
    <w:rsid w:val="7F6976B8"/>
    <w:rsid w:val="7F6B3D52"/>
    <w:rsid w:val="7F6F30A2"/>
    <w:rsid w:val="7F707D4F"/>
    <w:rsid w:val="7F7571AA"/>
    <w:rsid w:val="7F774559"/>
    <w:rsid w:val="7F7A63B3"/>
    <w:rsid w:val="7F8312AF"/>
    <w:rsid w:val="7F962F62"/>
    <w:rsid w:val="7FA87133"/>
    <w:rsid w:val="7FC049A5"/>
    <w:rsid w:val="7FD8724E"/>
    <w:rsid w:val="7FE1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autoRedefine/>
    <w:qFormat/>
    <w:uiPriority w:val="9"/>
    <w:pPr>
      <w:keepNext/>
      <w:keepLines/>
      <w:spacing w:before="340" w:after="330" w:line="578" w:lineRule="auto"/>
      <w:outlineLvl w:val="0"/>
    </w:pPr>
    <w:rPr>
      <w:rFonts w:eastAsia="仿宋_GB2312"/>
      <w:b/>
      <w:bCs/>
      <w:kern w:val="44"/>
      <w:sz w:val="24"/>
      <w:szCs w:val="44"/>
    </w:rPr>
  </w:style>
  <w:style w:type="paragraph" w:styleId="3">
    <w:name w:val="heading 2"/>
    <w:basedOn w:val="1"/>
    <w:next w:val="1"/>
    <w:link w:val="31"/>
    <w:autoRedefine/>
    <w:unhideWhenUsed/>
    <w:qFormat/>
    <w:uiPriority w:val="9"/>
    <w:pPr>
      <w:keepNext/>
      <w:keepLines/>
      <w:spacing w:before="260" w:after="260" w:line="416" w:lineRule="auto"/>
      <w:outlineLvl w:val="1"/>
    </w:pPr>
    <w:rPr>
      <w:rFonts w:ascii="Cambria" w:hAnsi="Cambria" w:eastAsia="仿宋_GB2312"/>
      <w:b/>
      <w:bCs/>
      <w:sz w:val="30"/>
      <w:szCs w:val="32"/>
    </w:rPr>
  </w:style>
  <w:style w:type="paragraph" w:styleId="4">
    <w:name w:val="heading 3"/>
    <w:basedOn w:val="1"/>
    <w:next w:val="1"/>
    <w:link w:val="30"/>
    <w:autoRedefine/>
    <w:unhideWhenUsed/>
    <w:qFormat/>
    <w:uiPriority w:val="9"/>
    <w:pPr>
      <w:keepNext/>
      <w:keepLines/>
      <w:spacing w:before="260" w:after="260" w:line="416" w:lineRule="auto"/>
      <w:jc w:val="left"/>
      <w:outlineLvl w:val="2"/>
    </w:pPr>
    <w:rPr>
      <w:rFonts w:ascii="仿宋" w:hAnsi="仿宋" w:eastAsia="仿宋_GB2312"/>
      <w:bCs/>
      <w:sz w:val="28"/>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1"/>
    <w:rPr>
      <w:rFonts w:ascii="宋体" w:hAnsi="宋体" w:eastAsia="宋体" w:cs="宋体"/>
      <w:sz w:val="21"/>
      <w:szCs w:val="21"/>
      <w:lang w:val="zh-CN" w:eastAsia="zh-CN" w:bidi="zh-CN"/>
    </w:rPr>
  </w:style>
  <w:style w:type="paragraph" w:styleId="7">
    <w:name w:val="Body Text Indent"/>
    <w:basedOn w:val="1"/>
    <w:autoRedefine/>
    <w:qFormat/>
    <w:uiPriority w:val="0"/>
    <w:pPr>
      <w:tabs>
        <w:tab w:val="left" w:pos="992"/>
      </w:tabs>
      <w:ind w:firstLine="560" w:firstLineChars="200"/>
    </w:pPr>
  </w:style>
  <w:style w:type="paragraph" w:styleId="8">
    <w:name w:val="Plain Text"/>
    <w:basedOn w:val="1"/>
    <w:autoRedefine/>
    <w:unhideWhenUsed/>
    <w:qFormat/>
    <w:uiPriority w:val="0"/>
    <w:rPr>
      <w:rFonts w:ascii="宋体" w:hAnsi="Courier New" w:eastAsia="宋体" w:cs="Times New Roman"/>
      <w:szCs w:val="21"/>
      <w:lang w:val="en-US" w:eastAsia="zh-CN" w:bidi="ar-SA"/>
    </w:rPr>
  </w:style>
  <w:style w:type="paragraph" w:styleId="9">
    <w:name w:val="Balloon Text"/>
    <w:basedOn w:val="1"/>
    <w:link w:val="29"/>
    <w:autoRedefine/>
    <w:unhideWhenUsed/>
    <w:qFormat/>
    <w:uiPriority w:val="99"/>
    <w:rPr>
      <w:sz w:val="18"/>
      <w:szCs w:val="18"/>
    </w:rPr>
  </w:style>
  <w:style w:type="paragraph" w:styleId="10">
    <w:name w:val="footer"/>
    <w:basedOn w:val="1"/>
    <w:link w:val="28"/>
    <w:autoRedefine/>
    <w:unhideWhenUsed/>
    <w:qFormat/>
    <w:uiPriority w:val="99"/>
    <w:pPr>
      <w:tabs>
        <w:tab w:val="center" w:pos="4153"/>
        <w:tab w:val="right" w:pos="8306"/>
      </w:tabs>
      <w:snapToGrid w:val="0"/>
      <w:jc w:val="left"/>
    </w:pPr>
    <w:rPr>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tabs>
        <w:tab w:val="left" w:pos="1050"/>
        <w:tab w:val="right" w:leader="dot" w:pos="8296"/>
      </w:tabs>
    </w:pPr>
  </w:style>
  <w:style w:type="paragraph" w:styleId="13">
    <w:name w:val="toc 2"/>
    <w:basedOn w:val="1"/>
    <w:next w:val="1"/>
    <w:autoRedefine/>
    <w:unhideWhenUsed/>
    <w:qFormat/>
    <w:uiPriority w:val="39"/>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12"/>
    <w:autoRedefine/>
    <w:semiHidden/>
    <w:qFormat/>
    <w:uiPriority w:val="0"/>
    <w:rPr>
      <w:b/>
      <w:bCs/>
    </w:rPr>
  </w:style>
  <w:style w:type="paragraph" w:styleId="16">
    <w:name w:val="Body Text First Indent 2"/>
    <w:basedOn w:val="7"/>
    <w:autoRedefine/>
    <w:qFormat/>
    <w:uiPriority w:val="0"/>
    <w:pPr>
      <w:spacing w:after="120"/>
      <w:ind w:left="420" w:leftChars="200" w:firstLine="420"/>
    </w:pPr>
    <w:rPr>
      <w:bCs/>
    </w:rPr>
  </w:style>
  <w:style w:type="table" w:styleId="18">
    <w:name w:val="Table Grid"/>
    <w:basedOn w:val="17"/>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autoRedefine/>
    <w:unhideWhenUsed/>
    <w:qFormat/>
    <w:uiPriority w:val="0"/>
  </w:style>
  <w:style w:type="character" w:styleId="21">
    <w:name w:val="Hyperlink"/>
    <w:autoRedefine/>
    <w:unhideWhenUsed/>
    <w:qFormat/>
    <w:uiPriority w:val="99"/>
    <w:rPr>
      <w:color w:val="0000FF"/>
      <w:u w:val="single"/>
    </w:rPr>
  </w:style>
  <w:style w:type="paragraph" w:customStyle="1" w:styleId="22">
    <w:name w:val="汇编标题1"/>
    <w:basedOn w:val="2"/>
    <w:next w:val="23"/>
    <w:autoRedefine/>
    <w:qFormat/>
    <w:uiPriority w:val="0"/>
    <w:pPr>
      <w:spacing w:beforeLines="100" w:afterLines="100" w:line="240" w:lineRule="auto"/>
      <w:jc w:val="center"/>
    </w:pPr>
    <w:rPr>
      <w:rFonts w:ascii="仿宋_GB2312" w:eastAsia="黑体"/>
      <w:bCs w:val="0"/>
      <w:kern w:val="0"/>
      <w:sz w:val="52"/>
      <w:szCs w:val="32"/>
      <w:lang w:val="zh-CN"/>
    </w:rPr>
  </w:style>
  <w:style w:type="paragraph" w:customStyle="1" w:styleId="23">
    <w:name w:val="汇编正文"/>
    <w:basedOn w:val="1"/>
    <w:next w:val="24"/>
    <w:autoRedefine/>
    <w:qFormat/>
    <w:uiPriority w:val="99"/>
    <w:pPr>
      <w:snapToGrid w:val="0"/>
      <w:spacing w:line="360" w:lineRule="atLeast"/>
    </w:pPr>
    <w:rPr>
      <w:color w:val="000000"/>
      <w:lang w:val="zh-CN"/>
    </w:rPr>
  </w:style>
  <w:style w:type="paragraph" w:customStyle="1" w:styleId="24">
    <w:name w:val="样式 标题 1 + 黑体 三号 非加粗 居中 段前: 6 磅 段后: 6 磅 行距: 固定值 20 磅"/>
    <w:basedOn w:val="2"/>
    <w:next w:val="15"/>
    <w:autoRedefine/>
    <w:qFormat/>
    <w:uiPriority w:val="0"/>
    <w:pPr>
      <w:spacing w:before="120" w:after="120" w:line="400" w:lineRule="exact"/>
      <w:jc w:val="center"/>
    </w:pPr>
    <w:rPr>
      <w:rFonts w:ascii="黑体" w:hAnsi="黑体" w:eastAsia="黑体" w:cs="宋体"/>
      <w:b w:val="0"/>
      <w:sz w:val="32"/>
      <w:szCs w:val="20"/>
    </w:rPr>
  </w:style>
  <w:style w:type="paragraph" w:customStyle="1" w:styleId="25">
    <w:name w:val="列出段落1"/>
    <w:basedOn w:val="1"/>
    <w:autoRedefine/>
    <w:qFormat/>
    <w:uiPriority w:val="34"/>
    <w:pPr>
      <w:ind w:firstLine="420" w:firstLineChars="200"/>
    </w:pPr>
  </w:style>
  <w:style w:type="paragraph" w:customStyle="1" w:styleId="26">
    <w:name w:val="TOC 标题1"/>
    <w:basedOn w:val="2"/>
    <w:next w:val="1"/>
    <w:autoRedefine/>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character" w:customStyle="1" w:styleId="27">
    <w:name w:val="页眉 Char"/>
    <w:link w:val="11"/>
    <w:autoRedefine/>
    <w:semiHidden/>
    <w:qFormat/>
    <w:uiPriority w:val="99"/>
    <w:rPr>
      <w:sz w:val="18"/>
      <w:szCs w:val="18"/>
    </w:rPr>
  </w:style>
  <w:style w:type="character" w:customStyle="1" w:styleId="28">
    <w:name w:val="页脚 Char"/>
    <w:link w:val="10"/>
    <w:autoRedefine/>
    <w:semiHidden/>
    <w:qFormat/>
    <w:uiPriority w:val="99"/>
    <w:rPr>
      <w:sz w:val="18"/>
      <w:szCs w:val="18"/>
    </w:rPr>
  </w:style>
  <w:style w:type="character" w:customStyle="1" w:styleId="29">
    <w:name w:val="批注框文本 Char"/>
    <w:link w:val="9"/>
    <w:autoRedefine/>
    <w:semiHidden/>
    <w:qFormat/>
    <w:uiPriority w:val="99"/>
    <w:rPr>
      <w:sz w:val="18"/>
      <w:szCs w:val="18"/>
    </w:rPr>
  </w:style>
  <w:style w:type="character" w:customStyle="1" w:styleId="30">
    <w:name w:val="标题 3 Char"/>
    <w:link w:val="4"/>
    <w:autoRedefine/>
    <w:qFormat/>
    <w:uiPriority w:val="9"/>
    <w:rPr>
      <w:rFonts w:ascii="仿宋" w:hAnsi="仿宋" w:eastAsia="仿宋_GB2312" w:cs="Times New Roman"/>
      <w:bCs/>
      <w:sz w:val="28"/>
      <w:szCs w:val="32"/>
    </w:rPr>
  </w:style>
  <w:style w:type="character" w:customStyle="1" w:styleId="31">
    <w:name w:val="标题 2 Char"/>
    <w:link w:val="3"/>
    <w:autoRedefine/>
    <w:qFormat/>
    <w:uiPriority w:val="9"/>
    <w:rPr>
      <w:rFonts w:ascii="Cambria" w:hAnsi="Cambria" w:eastAsia="仿宋_GB2312"/>
      <w:b/>
      <w:bCs/>
      <w:sz w:val="30"/>
      <w:szCs w:val="32"/>
    </w:rPr>
  </w:style>
  <w:style w:type="character" w:customStyle="1" w:styleId="32">
    <w:name w:val="标题 1 Char"/>
    <w:link w:val="2"/>
    <w:autoRedefine/>
    <w:qFormat/>
    <w:uiPriority w:val="9"/>
    <w:rPr>
      <w:rFonts w:eastAsia="仿宋_GB2312"/>
      <w:b/>
      <w:bCs/>
      <w:kern w:val="44"/>
      <w:sz w:val="24"/>
      <w:szCs w:val="44"/>
    </w:rPr>
  </w:style>
  <w:style w:type="paragraph" w:customStyle="1" w:styleId="33">
    <w:name w:val="Default"/>
    <w:autoRedefine/>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 w:type="paragraph" w:customStyle="1" w:styleId="34">
    <w:name w:val="正文格式"/>
    <w:basedOn w:val="1"/>
    <w:autoRedefine/>
    <w:qFormat/>
    <w:uiPriority w:val="99"/>
    <w:pPr>
      <w:widowControl/>
      <w:autoSpaceDE/>
      <w:autoSpaceDN/>
      <w:adjustRightInd w:val="0"/>
      <w:snapToGrid w:val="0"/>
      <w:spacing w:beforeLines="50" w:afterLines="50" w:line="360" w:lineRule="atLeast"/>
      <w:ind w:left="200" w:leftChars="200" w:firstLine="482"/>
      <w:jc w:val="both"/>
      <w:textAlignment w:val="baseline"/>
    </w:pPr>
    <w:rPr>
      <w:rFonts w:asciiTheme="minorHAnsi" w:hAnsiTheme="minorHAnsi" w:eastAsiaTheme="minorEastAsia" w:cstheme="minorBidi"/>
      <w:sz w:val="24"/>
      <w:szCs w:val="24"/>
      <w:lang w:val="en-US" w:eastAsia="en-US" w:bidi="ar-SA"/>
    </w:rPr>
  </w:style>
  <w:style w:type="paragraph" w:customStyle="1" w:styleId="35">
    <w:name w:val="1"/>
    <w:basedOn w:val="1"/>
    <w:autoRedefine/>
    <w:qFormat/>
    <w:uiPriority w:val="0"/>
  </w:style>
  <w:style w:type="character" w:customStyle="1" w:styleId="36">
    <w:name w:val="font11"/>
    <w:basedOn w:val="19"/>
    <w:autoRedefine/>
    <w:qFormat/>
    <w:uiPriority w:val="0"/>
    <w:rPr>
      <w:rFonts w:hint="eastAsia" w:ascii="楷体" w:hAnsi="楷体" w:eastAsia="楷体" w:cs="楷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5248</Words>
  <Characters>5401</Characters>
  <Lines>50</Lines>
  <Paragraphs>14</Paragraphs>
  <TotalTime>6</TotalTime>
  <ScaleCrop>false</ScaleCrop>
  <LinksUpToDate>false</LinksUpToDate>
  <CharactersWithSpaces>5733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2012-12-19T08:19:00Z</dcterms:created>
  <dc:creator>admin</dc:creator>
  <cp:lastModifiedBy>空白</cp:lastModifiedBy>
  <cp:lastPrinted>2024-03-28T02:41:00Z</cp:lastPrinted>
  <dcterms:modified xsi:type="dcterms:W3CDTF">2024-03-28T10:05:36Z</dcterms:modified>
  <dc:title>中建七局华北公司</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94F3E160D07B4988863CA49A73BF9C34_13</vt:lpwstr>
  </property>
</Properties>
</file>